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jc w:val="center"/>
        <w:rPr>
          <w:rFonts w:hint="eastAsia" w:ascii="宋体" w:hAnsi="宋体"/>
          <w:b/>
          <w:sz w:val="28"/>
          <w:szCs w:val="28"/>
        </w:rPr>
      </w:pPr>
      <w:r>
        <w:rPr>
          <w:rFonts w:hint="eastAsia" w:ascii="宋体" w:hAnsi="宋体"/>
          <w:b/>
          <w:sz w:val="44"/>
          <w:szCs w:val="44"/>
        </w:rPr>
        <w:t>拍  卖  须  知</w:t>
      </w:r>
    </w:p>
    <w:p>
      <w:pPr>
        <w:spacing w:before="312" w:beforeLines="100" w:after="156" w:afterLines="50" w:line="460" w:lineRule="exact"/>
        <w:jc w:val="center"/>
        <w:rPr>
          <w:rFonts w:hint="eastAsia" w:ascii="宋体" w:hAnsi="宋体"/>
          <w:b/>
          <w:sz w:val="28"/>
          <w:szCs w:val="28"/>
        </w:rPr>
      </w:pPr>
      <w:r>
        <w:rPr>
          <w:rFonts w:hint="eastAsia" w:ascii="宋体" w:hAnsi="宋体"/>
          <w:b/>
          <w:sz w:val="28"/>
          <w:szCs w:val="28"/>
        </w:rPr>
        <w:t>总 则</w:t>
      </w:r>
    </w:p>
    <w:p>
      <w:pPr>
        <w:spacing w:line="460" w:lineRule="exact"/>
        <w:ind w:firstLine="470" w:firstLineChars="195"/>
        <w:rPr>
          <w:rFonts w:hint="eastAsia" w:ascii="宋体" w:hAnsi="宋体"/>
          <w:sz w:val="24"/>
        </w:rPr>
      </w:pPr>
      <w:r>
        <w:rPr>
          <w:rFonts w:hint="eastAsia" w:ascii="宋体" w:hAnsi="宋体"/>
          <w:b/>
          <w:sz w:val="24"/>
        </w:rPr>
        <w:t>第一条</w:t>
      </w:r>
      <w:r>
        <w:rPr>
          <w:rFonts w:hint="eastAsia" w:ascii="宋体" w:hAnsi="宋体"/>
          <w:sz w:val="24"/>
        </w:rPr>
        <w:t xml:space="preserve">  本《拍卖须知》根据《中华人民共和国拍卖法》及相关法律、法规、规章，参照国际通行惯例制定。</w:t>
      </w:r>
    </w:p>
    <w:p>
      <w:pPr>
        <w:spacing w:line="460" w:lineRule="exact"/>
        <w:ind w:firstLine="482" w:firstLineChars="200"/>
        <w:rPr>
          <w:rFonts w:hint="eastAsia" w:ascii="宋体" w:hAnsi="宋体"/>
          <w:sz w:val="24"/>
        </w:rPr>
      </w:pPr>
      <w:r>
        <w:rPr>
          <w:rFonts w:hint="eastAsia" w:ascii="宋体" w:hAnsi="宋体"/>
          <w:b/>
          <w:sz w:val="24"/>
        </w:rPr>
        <w:t>第二条</w:t>
      </w:r>
      <w:r>
        <w:rPr>
          <w:rFonts w:hint="eastAsia" w:ascii="宋体" w:hAnsi="宋体"/>
          <w:sz w:val="24"/>
        </w:rPr>
        <w:t xml:space="preserve">  拍卖人将依法组织和开展拍卖活动，参加拍卖活动的竞买人必须仔细阅读并遵守本《拍卖须知》及其它相关文件，并对自己执行本《拍卖须知》的行为负责。</w:t>
      </w:r>
    </w:p>
    <w:p>
      <w:pPr>
        <w:spacing w:line="460" w:lineRule="exact"/>
        <w:ind w:firstLine="482" w:firstLineChars="200"/>
        <w:rPr>
          <w:rFonts w:hint="eastAsia" w:ascii="宋体" w:hAnsi="宋体"/>
          <w:sz w:val="24"/>
        </w:rPr>
      </w:pPr>
      <w:r>
        <w:rPr>
          <w:rFonts w:hint="eastAsia" w:ascii="宋体" w:hAnsi="宋体"/>
          <w:b/>
          <w:sz w:val="24"/>
        </w:rPr>
        <w:t xml:space="preserve">第三条  </w:t>
      </w:r>
      <w:r>
        <w:rPr>
          <w:rFonts w:hint="eastAsia" w:ascii="宋体" w:hAnsi="宋体"/>
          <w:sz w:val="24"/>
        </w:rPr>
        <w:t>拍卖人有权在本《拍卖须知》的基础上，根据公开、公平、公正、诚实信用的原则解释和处理本《拍卖须知》以外的特殊问题和未尽事宜。</w:t>
      </w:r>
    </w:p>
    <w:p>
      <w:pPr>
        <w:spacing w:before="156" w:beforeLines="50" w:after="156" w:afterLines="50" w:line="460" w:lineRule="exact"/>
        <w:jc w:val="center"/>
        <w:rPr>
          <w:rFonts w:hint="eastAsia" w:ascii="宋体" w:hAnsi="宋体"/>
          <w:b/>
          <w:sz w:val="28"/>
          <w:szCs w:val="28"/>
        </w:rPr>
      </w:pPr>
      <w:r>
        <w:rPr>
          <w:rFonts w:hint="eastAsia" w:ascii="宋体" w:hAnsi="宋体"/>
          <w:b/>
          <w:sz w:val="28"/>
          <w:szCs w:val="28"/>
        </w:rPr>
        <w:t>拍卖标的</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val="0"/>
        <w:spacing w:line="360" w:lineRule="auto"/>
        <w:ind w:firstLine="482" w:firstLineChars="200"/>
        <w:jc w:val="left"/>
        <w:textAlignment w:val="auto"/>
        <w:rPr>
          <w:rFonts w:hint="eastAsia" w:ascii="宋体" w:hAnsi="宋体" w:cs="宋体"/>
          <w:b/>
          <w:bCs/>
          <w:color w:val="auto"/>
          <w:sz w:val="24"/>
          <w:szCs w:val="24"/>
          <w:lang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val="0"/>
        <w:spacing w:line="360" w:lineRule="auto"/>
        <w:ind w:firstLine="482" w:firstLineChars="200"/>
        <w:jc w:val="left"/>
        <w:textAlignment w:val="auto"/>
        <w:rPr>
          <w:rFonts w:hint="eastAsia" w:ascii="宋体" w:hAnsi="宋体" w:eastAsia="宋体" w:cs="宋体"/>
          <w:b w:val="0"/>
          <w:bCs/>
          <w:color w:val="auto"/>
          <w:sz w:val="24"/>
          <w:szCs w:val="24"/>
          <w:u w:val="none"/>
          <w:lang w:eastAsia="zh-CN"/>
        </w:rPr>
      </w:pPr>
      <w:r>
        <w:rPr>
          <w:rFonts w:hint="eastAsia" w:ascii="宋体" w:hAnsi="宋体" w:cs="宋体"/>
          <w:b/>
          <w:bCs/>
          <w:color w:val="auto"/>
          <w:sz w:val="24"/>
          <w:szCs w:val="24"/>
          <w:lang w:eastAsia="zh-CN"/>
        </w:rPr>
        <w:t>第四条</w:t>
      </w:r>
      <w:r>
        <w:rPr>
          <w:rFonts w:hint="eastAsia" w:ascii="宋体" w:hAnsi="宋体" w:cs="宋体"/>
          <w:b/>
          <w:bCs/>
          <w:color w:val="auto"/>
          <w:sz w:val="24"/>
          <w:szCs w:val="24"/>
          <w:lang w:val="en-US" w:eastAsia="zh-CN"/>
        </w:rPr>
        <w:t xml:space="preserve">  </w:t>
      </w:r>
      <w:r>
        <w:rPr>
          <w:rFonts w:hint="eastAsia" w:ascii="宋体" w:hAnsi="宋体" w:cs="宋体"/>
          <w:b/>
          <w:bCs/>
          <w:color w:val="auto"/>
          <w:sz w:val="24"/>
          <w:szCs w:val="24"/>
          <w:lang w:eastAsia="zh-CN"/>
        </w:rPr>
        <w:t>拍卖</w:t>
      </w:r>
      <w:r>
        <w:rPr>
          <w:rFonts w:hint="eastAsia" w:ascii="宋体" w:hAnsi="宋体" w:eastAsia="宋体" w:cs="宋体"/>
          <w:b/>
          <w:bCs/>
          <w:color w:val="auto"/>
          <w:sz w:val="24"/>
          <w:szCs w:val="24"/>
        </w:rPr>
        <w:t>标的：</w:t>
      </w:r>
      <w:r>
        <w:rPr>
          <w:rFonts w:hint="eastAsia" w:ascii="宋体" w:hAnsi="宋体" w:eastAsia="宋体" w:cs="Times New Roman"/>
          <w:bCs/>
          <w:color w:val="auto"/>
          <w:kern w:val="0"/>
          <w:sz w:val="24"/>
          <w:szCs w:val="24"/>
          <w:lang w:eastAsia="zh-CN"/>
        </w:rPr>
        <w:t>“河姆液”商标，商标注册证号第</w:t>
      </w:r>
      <w:r>
        <w:rPr>
          <w:rFonts w:hint="eastAsia" w:ascii="宋体" w:hAnsi="宋体" w:eastAsia="宋体" w:cs="Times New Roman"/>
          <w:bCs/>
          <w:color w:val="auto"/>
          <w:kern w:val="0"/>
          <w:sz w:val="24"/>
          <w:szCs w:val="24"/>
          <w:lang w:val="en-US" w:eastAsia="zh-CN"/>
        </w:rPr>
        <w:t>5997400号，国际分类第33类：果酒（含酒精）、酒精饮料原汁、葡萄酒、清酒（日本米酒）、酒精饮料（啤酒除外）、米酒、黄酒、含水果酒精饮料、食用酒精、白酒（截止），有效期至2032年3月27日</w:t>
      </w:r>
      <w:r>
        <w:rPr>
          <w:rFonts w:hint="eastAsia" w:ascii="宋体" w:hAnsi="宋体" w:eastAsia="宋体" w:cs="宋体"/>
          <w:b w:val="0"/>
          <w:bCs/>
          <w:color w:val="auto"/>
          <w:sz w:val="24"/>
          <w:szCs w:val="24"/>
          <w:u w:val="none"/>
          <w:lang w:eastAsia="zh-CN"/>
        </w:rPr>
        <w:t>。</w:t>
      </w:r>
    </w:p>
    <w:p>
      <w:pPr>
        <w:wordWrap w:val="0"/>
        <w:adjustRightInd w:val="0"/>
        <w:snapToGrid w:val="0"/>
        <w:spacing w:line="360" w:lineRule="auto"/>
        <w:ind w:firstLine="567"/>
        <w:rPr>
          <w:rFonts w:hint="eastAsia" w:ascii="宋体" w:hAnsi="宋体" w:eastAsia="宋体" w:cs="宋体"/>
          <w:b/>
          <w:bCs/>
          <w:color w:val="auto"/>
          <w:sz w:val="24"/>
          <w:szCs w:val="24"/>
          <w:lang w:eastAsia="zh-CN"/>
        </w:rPr>
      </w:pPr>
      <w:r>
        <w:rPr>
          <w:rFonts w:hint="eastAsia" w:ascii="宋体" w:hAnsi="宋体" w:eastAsia="宋体" w:cs="宋体"/>
          <w:b w:val="0"/>
          <w:bCs/>
          <w:sz w:val="24"/>
          <w:szCs w:val="24"/>
          <w:u w:val="none"/>
          <w:lang w:eastAsia="zh-CN"/>
        </w:rPr>
        <w:t>起拍价：</w:t>
      </w:r>
      <w:r>
        <w:rPr>
          <w:rFonts w:hint="eastAsia" w:ascii="宋体" w:hAnsi="宋体" w:eastAsia="宋体" w:cs="宋体"/>
          <w:b w:val="0"/>
          <w:bCs/>
          <w:sz w:val="24"/>
          <w:szCs w:val="24"/>
          <w:u w:val="none"/>
          <w:lang w:val="en-US" w:eastAsia="zh-CN"/>
        </w:rPr>
        <w:t>48000元    竞买保证金：14000元</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color w:val="000000"/>
          <w:sz w:val="24"/>
          <w:szCs w:val="24"/>
          <w:lang w:eastAsia="zh-CN"/>
        </w:rPr>
      </w:pPr>
      <w:r>
        <w:rPr>
          <w:rFonts w:hint="eastAsia" w:ascii="宋体" w:hAnsi="宋体" w:eastAsia="宋体" w:cs="宋体"/>
          <w:b/>
          <w:bCs/>
          <w:color w:val="auto"/>
          <w:sz w:val="24"/>
          <w:szCs w:val="24"/>
          <w:lang w:eastAsia="zh-CN"/>
        </w:rPr>
        <w:t>★</w:t>
      </w:r>
      <w:r>
        <w:rPr>
          <w:rFonts w:hint="eastAsia" w:ascii="宋体" w:hAnsi="宋体" w:eastAsia="宋体" w:cs="宋体"/>
          <w:b/>
          <w:color w:val="000000"/>
          <w:sz w:val="24"/>
          <w:szCs w:val="24"/>
          <w:lang w:eastAsia="zh-CN"/>
        </w:rPr>
        <w:t>竞买人条件：</w:t>
      </w:r>
      <w:r>
        <w:rPr>
          <w:rFonts w:hint="eastAsia" w:eastAsia="宋体"/>
          <w:b/>
          <w:bCs w:val="0"/>
          <w:color w:val="auto"/>
          <w:sz w:val="24"/>
          <w:szCs w:val="24"/>
          <w:shd w:val="clear" w:color="auto" w:fill="FFFFFF"/>
          <w:lang w:eastAsia="zh-CN"/>
        </w:rPr>
        <w:t>必须具有酒类食品生产许可证的企业法人。</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bCs w:val="0"/>
          <w:color w:val="000000"/>
          <w:sz w:val="24"/>
          <w:szCs w:val="24"/>
          <w:lang w:val="en-US" w:eastAsia="zh-CN"/>
        </w:rPr>
      </w:pPr>
      <w:r>
        <w:rPr>
          <w:rFonts w:hint="eastAsia" w:ascii="宋体" w:hAnsi="宋体" w:eastAsia="宋体" w:cs="宋体"/>
          <w:b/>
          <w:bCs w:val="0"/>
          <w:color w:val="000000"/>
          <w:sz w:val="24"/>
          <w:szCs w:val="24"/>
          <w:lang w:val="en-US" w:eastAsia="zh-CN"/>
        </w:rPr>
        <w:t>第五条  标的物特别说明</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1、标的物实际情况以现状为准，拍卖人对拍卖标的物所作的说明和提供的图片资料等，仅供竞买人参考，不构成对标的物的任何担保。所以请竞买人在拍卖前必须仔细审查标的物，调查是否存在瑕疵，认真研究查看所竞买标的物的实际情况，竞买人一旦作出竞买决定，视为对本标的实物现状的确认，并接受标的物的现状和一切已知及未知的瑕疵。标的物一经拍出不接受退换退还，买受人参与竞买的风险（包括但不限于《商标法》中所规定的商标无效、商标撤销、商标无法转让等风险）由买受人自行承担。</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2、本次拍卖的标的为商标权，请竞买人竞拍前自行向有关部门了解对拍卖标的物的属性、变更、过户的要求和流程，税（费）缴付的标准及起止时间，以及其他须注意的事项进行咨询，避免误判。成交后因自身资质条件、政策原因或其他原因导致商标权无法办理过户转移登记的，或需完善相关手续的风险由买受人承担。</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kern w:val="2"/>
          <w:sz w:val="24"/>
          <w:szCs w:val="24"/>
          <w:lang w:val="en-US" w:eastAsia="zh-CN" w:bidi="ar-SA"/>
        </w:rPr>
        <w:t>3、</w:t>
      </w:r>
      <w:r>
        <w:rPr>
          <w:rFonts w:hint="eastAsia" w:ascii="宋体" w:hAnsi="宋体" w:eastAsia="宋体" w:cs="宋体"/>
          <w:b w:val="0"/>
          <w:bCs/>
          <w:color w:val="000000"/>
          <w:sz w:val="24"/>
          <w:szCs w:val="24"/>
          <w:lang w:val="en-US" w:eastAsia="zh-CN"/>
        </w:rPr>
        <w:t>竞买人、买受人在参拍前已认可附后《商标权转让合同》的具体条款，买受人付清全部款项后与委托人签订《商标权转让合同》。</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4、买受人与委托人在约定时间内至有关部门办理商标权转让手续，转让过程中所产生的税（费）均由买受人承担。</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5、标的权利瑕疵以委托人提供的资料为准，对标的其他未发现的瑕疵本公司不能保证。</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Fonts w:hint="eastAsia" w:ascii="宋体" w:hAnsi="宋体" w:eastAsia="宋体" w:cs="宋体"/>
          <w:b/>
          <w:bCs w:val="0"/>
          <w:color w:val="000000"/>
          <w:sz w:val="28"/>
          <w:szCs w:val="28"/>
          <w:lang w:val="en-US" w:eastAsia="zh-CN"/>
        </w:rPr>
      </w:pP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Fonts w:hint="eastAsia" w:ascii="宋体" w:hAnsi="宋体" w:eastAsia="宋体" w:cs="宋体"/>
          <w:b/>
          <w:bCs w:val="0"/>
          <w:color w:val="000000"/>
          <w:sz w:val="28"/>
          <w:szCs w:val="28"/>
          <w:lang w:val="en-US" w:eastAsia="zh-CN"/>
        </w:rPr>
      </w:pPr>
      <w:r>
        <w:rPr>
          <w:rFonts w:hint="eastAsia" w:ascii="宋体" w:hAnsi="宋体" w:eastAsia="宋体" w:cs="宋体"/>
          <w:b/>
          <w:bCs w:val="0"/>
          <w:color w:val="000000"/>
          <w:sz w:val="28"/>
          <w:szCs w:val="28"/>
          <w:lang w:val="en-US" w:eastAsia="zh-CN"/>
        </w:rPr>
        <w:t>拍卖前期活动</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bCs w:val="0"/>
          <w:color w:val="000000"/>
          <w:sz w:val="24"/>
          <w:szCs w:val="24"/>
          <w:lang w:val="en-US" w:eastAsia="zh-CN"/>
        </w:rPr>
        <w:t>第六条</w:t>
      </w:r>
      <w:r>
        <w:rPr>
          <w:rFonts w:hint="eastAsia" w:ascii="宋体" w:hAnsi="宋体" w:eastAsia="宋体" w:cs="宋体"/>
          <w:b w:val="0"/>
          <w:bCs/>
          <w:color w:val="000000"/>
          <w:sz w:val="24"/>
          <w:szCs w:val="24"/>
          <w:lang w:val="en-US" w:eastAsia="zh-CN"/>
        </w:rPr>
        <w:t xml:space="preserve">  拍卖人根据委托人提供的资料确定可参拍的对象。竞买人必须符合相关法律法规及竞买人资格条件的规定；按时、足额交纳竞买保证金；提交相关资料；办理报名登记手续，方可参加本次拍卖。拍卖人在拍卖活动任何阶段，有权拒绝不符合本次拍卖资格条件的竞买人参加本次拍卖活动或解除其拍卖成交的法律关系，并追究其相应的法律责任。</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若拍卖文件需要修正或补充的，拍卖人可以在举行拍卖会之前书面告知竞买人。竞买人一经参拍或应价的，均视为已接受此修正或补充。</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在拍卖会举行前，如委托人决定中止、暂缓或终止委托拍卖的，则竞买人应当无条件的予以接受，交纳的竞买保证金予以退还(按银行同期活期存款利率计息），委托人和拍卖人不承担竞买人的一切损失。</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bCs w:val="0"/>
          <w:color w:val="000000"/>
          <w:sz w:val="24"/>
          <w:szCs w:val="24"/>
          <w:lang w:val="en-US" w:eastAsia="zh-CN"/>
        </w:rPr>
        <w:t>第七条</w:t>
      </w:r>
      <w:r>
        <w:rPr>
          <w:rFonts w:hint="eastAsia" w:ascii="宋体" w:hAnsi="宋体" w:eastAsia="宋体" w:cs="宋体"/>
          <w:b w:val="0"/>
          <w:bCs/>
          <w:color w:val="000000"/>
          <w:sz w:val="24"/>
          <w:szCs w:val="24"/>
          <w:lang w:val="en-US" w:eastAsia="zh-CN"/>
        </w:rPr>
        <w:t xml:space="preserve">  竞买人应在报名登记前按时、足额交纳竞买保证金（按银行同期活期存款利率计息）。</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 xml:space="preserve"> </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Fonts w:hint="eastAsia" w:ascii="宋体" w:hAnsi="宋体" w:eastAsia="宋体" w:cs="宋体"/>
          <w:b/>
          <w:bCs w:val="0"/>
          <w:color w:val="000000"/>
          <w:sz w:val="24"/>
          <w:szCs w:val="24"/>
          <w:lang w:val="en-US" w:eastAsia="zh-CN"/>
        </w:rPr>
      </w:pPr>
      <w:r>
        <w:rPr>
          <w:rFonts w:hint="eastAsia" w:ascii="宋体" w:hAnsi="宋体" w:eastAsia="宋体" w:cs="宋体"/>
          <w:b/>
          <w:bCs w:val="0"/>
          <w:color w:val="000000"/>
          <w:sz w:val="24"/>
          <w:szCs w:val="24"/>
          <w:lang w:val="en-US" w:eastAsia="zh-CN"/>
        </w:rPr>
        <w:t>拍卖会</w:t>
      </w:r>
    </w:p>
    <w:p>
      <w:pPr>
        <w:keepNext w:val="0"/>
        <w:keepLines w:val="0"/>
        <w:pageBreakBefore w:val="0"/>
        <w:widowControl w:val="0"/>
        <w:numPr>
          <w:ilvl w:val="0"/>
          <w:numId w:val="1"/>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b w:val="0"/>
          <w:bCs/>
          <w:color w:val="000000"/>
          <w:sz w:val="24"/>
          <w:szCs w:val="24"/>
          <w:lang w:val="en-US" w:eastAsia="zh-CN"/>
        </w:rPr>
        <w:t xml:space="preserve"> 本次拍卖标的经过规定的报刊、网络发布公告，</w:t>
      </w:r>
      <w:r>
        <w:rPr>
          <w:rFonts w:hint="eastAsia" w:ascii="宋体" w:hAnsi="宋体" w:eastAsia="宋体" w:cs="宋体"/>
          <w:color w:val="auto"/>
          <w:sz w:val="24"/>
          <w:szCs w:val="24"/>
          <w:u w:val="none"/>
          <w:lang w:eastAsia="zh-CN"/>
        </w:rPr>
        <w:t>并经实地展示</w:t>
      </w:r>
      <w:r>
        <w:rPr>
          <w:rFonts w:hint="eastAsia" w:ascii="宋体" w:hAnsi="宋体" w:eastAsia="宋体" w:cs="宋体"/>
          <w:sz w:val="24"/>
          <w:szCs w:val="24"/>
        </w:rPr>
        <w:t>，由拍卖人主持，并在相关当事人和监管部门监督下进行。</w:t>
      </w:r>
      <w:r>
        <w:rPr>
          <w:rFonts w:hint="eastAsia" w:ascii="宋体" w:hAnsi="宋体" w:eastAsia="宋体" w:cs="宋体"/>
          <w:b/>
          <w:bCs/>
          <w:sz w:val="24"/>
          <w:szCs w:val="24"/>
        </w:rPr>
        <w:t>竞买人凭身份证明及竞买保证金收据登记入场，每一个号牌限进</w:t>
      </w:r>
      <w:r>
        <w:rPr>
          <w:rFonts w:hint="eastAsia" w:ascii="宋体" w:hAnsi="宋体" w:eastAsia="宋体" w:cs="宋体"/>
          <w:b/>
          <w:bCs/>
          <w:sz w:val="24"/>
          <w:szCs w:val="24"/>
          <w:lang w:val="en-US" w:eastAsia="zh-CN"/>
        </w:rPr>
        <w:t>2</w:t>
      </w:r>
      <w:r>
        <w:rPr>
          <w:rFonts w:hint="eastAsia" w:ascii="宋体" w:hAnsi="宋体" w:eastAsia="宋体" w:cs="宋体"/>
          <w:b/>
          <w:bCs/>
          <w:sz w:val="24"/>
          <w:szCs w:val="24"/>
        </w:rPr>
        <w:t>人。</w:t>
      </w:r>
      <w:r>
        <w:rPr>
          <w:rFonts w:hint="eastAsia" w:ascii="宋体" w:hAnsi="宋体" w:eastAsia="宋体" w:cs="宋体"/>
          <w:sz w:val="24"/>
          <w:szCs w:val="24"/>
        </w:rPr>
        <w:t>在拍卖会现场，任何举牌应价的行为均视为竞买人本人的意思，其后果均由号牌对应的竞买人承担。如参加现场拍卖的为非报名者本人，则须提交报名者亲笔签名的授权委托书（本授权书应标明授权范围，包括现场举牌应价、拍卖成交确认书和拍卖笔录的签署等）同时被授权人须出示身份证原件，提交身份证复印件。</w:t>
      </w:r>
    </w:p>
    <w:p>
      <w:pPr>
        <w:keepNext w:val="0"/>
        <w:keepLines w:val="0"/>
        <w:pageBreakBefore w:val="0"/>
        <w:widowControl w:val="0"/>
        <w:numPr>
          <w:ilvl w:val="0"/>
          <w:numId w:val="0"/>
        </w:numPr>
        <w:tabs>
          <w:tab w:val="left" w:pos="1995"/>
        </w:tabs>
        <w:kinsoku/>
        <w:wordWrap/>
        <w:overflowPunct/>
        <w:topLinePunct w:val="0"/>
        <w:autoSpaceDE/>
        <w:autoSpaceDN/>
        <w:bidi w:val="0"/>
        <w:adjustRightInd/>
        <w:snapToGrid/>
        <w:spacing w:line="360" w:lineRule="auto"/>
        <w:ind w:right="-178" w:rightChars="-85"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注：一个委托代理人只能接受一个竞买人的委托，且竞买人之间不得相互委托。</w:t>
      </w:r>
    </w:p>
    <w:p>
      <w:pPr>
        <w:keepNext w:val="0"/>
        <w:keepLines w:val="0"/>
        <w:pageBreakBefore w:val="0"/>
        <w:widowControl w:val="0"/>
        <w:tabs>
          <w:tab w:val="left" w:pos="1995"/>
        </w:tabs>
        <w:kinsoku/>
        <w:wordWrap/>
        <w:overflowPunct/>
        <w:topLinePunct w:val="0"/>
        <w:autoSpaceDE/>
        <w:autoSpaceDN/>
        <w:bidi w:val="0"/>
        <w:adjustRightInd/>
        <w:snapToGrid/>
        <w:spacing w:line="360" w:lineRule="auto"/>
        <w:ind w:left="0" w:leftChars="0" w:right="-178" w:rightChars="-85"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第九条</w:t>
      </w:r>
      <w:r>
        <w:rPr>
          <w:rFonts w:hint="eastAsia" w:ascii="宋体" w:hAnsi="宋体" w:eastAsia="宋体" w:cs="宋体"/>
          <w:b/>
          <w:bCs/>
          <w:sz w:val="24"/>
          <w:szCs w:val="24"/>
          <w:lang w:val="en-US" w:eastAsia="zh-CN"/>
        </w:rPr>
        <w:t xml:space="preserve"> </w:t>
      </w:r>
      <w:r>
        <w:rPr>
          <w:rFonts w:hint="eastAsia" w:ascii="宋体" w:hAnsi="宋体" w:eastAsia="宋体" w:cs="宋体"/>
          <w:sz w:val="24"/>
          <w:szCs w:val="24"/>
        </w:rPr>
        <w:t xml:space="preserve"> 竞买人一旦进入了拍卖会场，即表明已完全了解</w:t>
      </w:r>
      <w:r>
        <w:rPr>
          <w:rFonts w:hint="eastAsia" w:ascii="宋体" w:hAnsi="宋体" w:eastAsia="宋体" w:cs="宋体"/>
          <w:sz w:val="24"/>
          <w:szCs w:val="24"/>
          <w:lang w:eastAsia="zh-CN"/>
        </w:rPr>
        <w:t>拍卖标的</w:t>
      </w:r>
      <w:r>
        <w:rPr>
          <w:rFonts w:hint="eastAsia" w:ascii="宋体" w:hAnsi="宋体" w:eastAsia="宋体" w:cs="宋体"/>
          <w:sz w:val="24"/>
          <w:szCs w:val="24"/>
        </w:rPr>
        <w:t>的一切现状，接受</w:t>
      </w:r>
      <w:r>
        <w:rPr>
          <w:rFonts w:hint="eastAsia" w:ascii="宋体" w:hAnsi="宋体" w:eastAsia="宋体" w:cs="宋体"/>
          <w:sz w:val="24"/>
          <w:szCs w:val="24"/>
          <w:lang w:eastAsia="zh-CN"/>
        </w:rPr>
        <w:t>拍卖标的</w:t>
      </w:r>
      <w:r>
        <w:rPr>
          <w:rFonts w:hint="eastAsia" w:ascii="宋体" w:hAnsi="宋体" w:eastAsia="宋体" w:cs="宋体"/>
          <w:sz w:val="24"/>
          <w:szCs w:val="24"/>
        </w:rPr>
        <w:t>已知和未知的瑕疵、缺陷，对自己参加竞买的行为及其后对</w:t>
      </w:r>
      <w:r>
        <w:rPr>
          <w:rFonts w:hint="eastAsia" w:ascii="宋体" w:hAnsi="宋体" w:eastAsia="宋体" w:cs="宋体"/>
          <w:sz w:val="24"/>
          <w:szCs w:val="24"/>
          <w:lang w:eastAsia="zh-CN"/>
        </w:rPr>
        <w:t>拍卖标的</w:t>
      </w:r>
      <w:r>
        <w:rPr>
          <w:rFonts w:hint="eastAsia" w:ascii="宋体" w:hAnsi="宋体" w:eastAsia="宋体" w:cs="宋体"/>
          <w:sz w:val="24"/>
          <w:szCs w:val="24"/>
        </w:rPr>
        <w:t>的权利行使期间之各种风险、状态，自行承担法律责任。</w:t>
      </w:r>
    </w:p>
    <w:p>
      <w:pPr>
        <w:keepNext w:val="0"/>
        <w:keepLines w:val="0"/>
        <w:pageBreakBefore w:val="0"/>
        <w:widowControl w:val="0"/>
        <w:tabs>
          <w:tab w:val="left" w:pos="1995"/>
        </w:tabs>
        <w:kinsoku/>
        <w:wordWrap/>
        <w:overflowPunct/>
        <w:topLinePunct w:val="0"/>
        <w:autoSpaceDE/>
        <w:autoSpaceDN/>
        <w:bidi w:val="0"/>
        <w:adjustRightInd/>
        <w:snapToGrid/>
        <w:spacing w:line="360" w:lineRule="auto"/>
        <w:ind w:right="0" w:rightChars="0"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第十条</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b/>
          <w:bCs/>
          <w:sz w:val="24"/>
          <w:szCs w:val="24"/>
        </w:rPr>
        <w:t>本次拍卖采用“现场</w:t>
      </w:r>
      <w:r>
        <w:rPr>
          <w:rFonts w:hint="eastAsia" w:ascii="宋体" w:hAnsi="宋体" w:eastAsia="宋体" w:cs="宋体"/>
          <w:b/>
          <w:bCs/>
          <w:sz w:val="24"/>
          <w:szCs w:val="24"/>
          <w:lang w:eastAsia="zh-CN"/>
        </w:rPr>
        <w:t>拍卖</w:t>
      </w:r>
      <w:r>
        <w:rPr>
          <w:rFonts w:hint="eastAsia" w:ascii="宋体" w:hAnsi="宋体" w:eastAsia="宋体" w:cs="宋体"/>
          <w:b/>
          <w:bCs/>
          <w:sz w:val="24"/>
          <w:szCs w:val="24"/>
        </w:rPr>
        <w:t>”的方式，价高者得的原则，在规定报名时间内须有效报名2名及以上且必须到场拍卖，且至少1名有效出价，方可成交。</w:t>
      </w:r>
    </w:p>
    <w:p>
      <w:pPr>
        <w:keepNext w:val="0"/>
        <w:keepLines w:val="0"/>
        <w:pageBreakBefore w:val="0"/>
        <w:widowControl w:val="0"/>
        <w:tabs>
          <w:tab w:val="left" w:pos="1995"/>
        </w:tabs>
        <w:kinsoku/>
        <w:wordWrap/>
        <w:overflowPunct/>
        <w:topLinePunct w:val="0"/>
        <w:autoSpaceDE/>
        <w:autoSpaceDN/>
        <w:bidi w:val="0"/>
        <w:adjustRightInd/>
        <w:snapToGrid/>
        <w:spacing w:line="360" w:lineRule="auto"/>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竞买过程中，竞买人及与会人员应严格遵守拍卖会的会场秩序。若发现竞买人恶意串通、操纵竞价或弄虚作假的行为，将取消其竞买资格并按《拍卖法》规定由竞买人承担相应的赔偿责任。竞买人一经应价，不得反悔，否则竞买人的竞买保证金不予返还，并且将承担由此引起的其他法律责任。竞买人如中途退场，将视为放弃竞买，不影响拍卖会的继续进行。</w:t>
      </w:r>
    </w:p>
    <w:p>
      <w:pPr>
        <w:keepNext w:val="0"/>
        <w:keepLines w:val="0"/>
        <w:pageBreakBefore w:val="0"/>
        <w:widowControl w:val="0"/>
        <w:tabs>
          <w:tab w:val="left" w:pos="1995"/>
        </w:tabs>
        <w:kinsoku/>
        <w:wordWrap/>
        <w:overflowPunct/>
        <w:topLinePunct w:val="0"/>
        <w:autoSpaceDE/>
        <w:autoSpaceDN/>
        <w:bidi w:val="0"/>
        <w:adjustRightInd/>
        <w:snapToGrid/>
        <w:spacing w:line="360" w:lineRule="auto"/>
        <w:ind w:right="-178" w:rightChars="-85"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第十一条</w:t>
      </w:r>
      <w:r>
        <w:rPr>
          <w:rFonts w:hint="eastAsia" w:ascii="宋体" w:hAnsi="宋体" w:eastAsia="宋体" w:cs="宋体"/>
          <w:sz w:val="24"/>
          <w:szCs w:val="24"/>
        </w:rPr>
        <w:t xml:space="preserve"> </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本次拍卖会举牌须知如下：</w:t>
      </w:r>
    </w:p>
    <w:p>
      <w:pPr>
        <w:keepNext w:val="0"/>
        <w:keepLines w:val="0"/>
        <w:pageBreakBefore w:val="0"/>
        <w:widowControl w:val="0"/>
        <w:tabs>
          <w:tab w:val="left" w:pos="1995"/>
        </w:tabs>
        <w:kinsoku/>
        <w:wordWrap/>
        <w:overflowPunct/>
        <w:topLinePunct w:val="0"/>
        <w:autoSpaceDE/>
        <w:autoSpaceDN/>
        <w:bidi w:val="0"/>
        <w:adjustRightInd/>
        <w:snapToGrid/>
        <w:spacing w:line="360" w:lineRule="auto"/>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本次拍卖标的设有保留价，不达到保留价不成交。保留价对外公开，保留价即为起拍价。拍卖计价货币为人民币。拍卖时的起拍价和成交价均为裸价，不包含</w:t>
      </w:r>
      <w:r>
        <w:rPr>
          <w:rFonts w:hint="eastAsia" w:ascii="宋体" w:hAnsi="宋体" w:eastAsia="宋体" w:cs="宋体"/>
          <w:sz w:val="24"/>
          <w:szCs w:val="24"/>
          <w:lang w:eastAsia="zh-CN"/>
        </w:rPr>
        <w:t>任何</w:t>
      </w:r>
      <w:r>
        <w:rPr>
          <w:rFonts w:hint="eastAsia" w:ascii="宋体" w:hAnsi="宋体" w:eastAsia="宋体" w:cs="宋体"/>
          <w:sz w:val="24"/>
          <w:szCs w:val="24"/>
        </w:rPr>
        <w:t>税</w:t>
      </w:r>
      <w:r>
        <w:rPr>
          <w:rFonts w:hint="eastAsia" w:ascii="宋体" w:hAnsi="宋体" w:eastAsia="宋体" w:cs="宋体"/>
          <w:sz w:val="24"/>
          <w:szCs w:val="24"/>
          <w:lang w:eastAsia="zh-CN"/>
        </w:rPr>
        <w:t>、</w:t>
      </w:r>
      <w:r>
        <w:rPr>
          <w:rFonts w:hint="eastAsia" w:ascii="宋体" w:hAnsi="宋体" w:eastAsia="宋体" w:cs="宋体"/>
          <w:sz w:val="24"/>
          <w:szCs w:val="24"/>
        </w:rPr>
        <w:t>费及买受佣金。</w:t>
      </w:r>
    </w:p>
    <w:p>
      <w:pPr>
        <w:keepNext w:val="0"/>
        <w:keepLines w:val="0"/>
        <w:pageBreakBefore w:val="0"/>
        <w:widowControl w:val="0"/>
        <w:tabs>
          <w:tab w:val="left" w:pos="1995"/>
        </w:tabs>
        <w:kinsoku/>
        <w:wordWrap/>
        <w:overflowPunct/>
        <w:topLinePunct w:val="0"/>
        <w:autoSpaceDE/>
        <w:autoSpaceDN/>
        <w:bidi w:val="0"/>
        <w:adjustRightInd/>
        <w:snapToGrid/>
        <w:spacing w:line="360" w:lineRule="auto"/>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拍卖时，先由拍卖师宣布起拍价，然后报出加价幅度。竞买人可举牌应价或按规定的加价幅度竞价，也可自行报价。应价、报价须等于或者高于规定的加价幅度（且必须为加价幅度的整数倍），低于加价幅度的应价、报价无效；若场上出现二人以上同时举牌应价，拍卖师可指定其中一人并确认其应价有效。同时，拍卖师有权根据现场情况随时调整加价幅度。当会场上出现唯一的最高价格，且无人继续加价后，经拍卖师确认达到或超过保留价，落槌表示拍卖成交。</w:t>
      </w:r>
    </w:p>
    <w:p>
      <w:pPr>
        <w:keepNext w:val="0"/>
        <w:keepLines w:val="0"/>
        <w:pageBreakBefore w:val="0"/>
        <w:widowControl w:val="0"/>
        <w:tabs>
          <w:tab w:val="left" w:pos="1995"/>
        </w:tabs>
        <w:kinsoku/>
        <w:wordWrap/>
        <w:overflowPunct/>
        <w:topLinePunct w:val="0"/>
        <w:autoSpaceDE/>
        <w:autoSpaceDN/>
        <w:bidi w:val="0"/>
        <w:adjustRightInd/>
        <w:snapToGrid/>
        <w:spacing w:line="360" w:lineRule="auto"/>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若</w:t>
      </w:r>
      <w:r>
        <w:rPr>
          <w:rFonts w:hint="eastAsia" w:ascii="宋体" w:hAnsi="宋体" w:eastAsia="宋体" w:cs="宋体"/>
          <w:sz w:val="24"/>
          <w:szCs w:val="24"/>
          <w:lang w:eastAsia="zh-CN"/>
        </w:rPr>
        <w:t>本次拍卖</w:t>
      </w:r>
      <w:r>
        <w:rPr>
          <w:rFonts w:hint="eastAsia" w:ascii="宋体" w:hAnsi="宋体" w:eastAsia="宋体" w:cs="宋体"/>
          <w:sz w:val="24"/>
          <w:szCs w:val="24"/>
        </w:rPr>
        <w:t>有优先购买权人参加，当会场上出现唯一的最高价格，</w:t>
      </w:r>
      <w:r>
        <w:rPr>
          <w:rFonts w:hint="eastAsia" w:ascii="宋体" w:hAnsi="宋体" w:eastAsia="宋体" w:cs="宋体"/>
          <w:sz w:val="24"/>
          <w:szCs w:val="24"/>
          <w:lang w:eastAsia="zh-CN"/>
        </w:rPr>
        <w:t>拍卖师</w:t>
      </w:r>
      <w:r>
        <w:rPr>
          <w:rFonts w:hint="eastAsia" w:ascii="宋体" w:hAnsi="宋体" w:eastAsia="宋体" w:cs="宋体"/>
          <w:sz w:val="24"/>
          <w:szCs w:val="24"/>
        </w:rPr>
        <w:t>应征得优先购买权人的意见后落槌，优先购买权人可以表示以该最高价买受，如无更高应价，则买受人为优先购买权人；如有更高应价，而优先购买权人不作表示的，则买受人为该应价最高的竞买人。</w:t>
      </w:r>
    </w:p>
    <w:p>
      <w:pPr>
        <w:keepNext w:val="0"/>
        <w:keepLines w:val="0"/>
        <w:pageBreakBefore w:val="0"/>
        <w:widowControl w:val="0"/>
        <w:numPr>
          <w:ilvl w:val="0"/>
          <w:numId w:val="0"/>
        </w:numPr>
        <w:tabs>
          <w:tab w:val="left" w:pos="1995"/>
        </w:tabs>
        <w:kinsoku/>
        <w:wordWrap/>
        <w:overflowPunct/>
        <w:topLinePunct w:val="0"/>
        <w:autoSpaceDE/>
        <w:autoSpaceDN/>
        <w:bidi w:val="0"/>
        <w:adjustRightInd/>
        <w:spacing w:line="360" w:lineRule="auto"/>
        <w:ind w:right="-178" w:rightChars="-85" w:firstLine="482" w:firstLineChars="200"/>
        <w:textAlignment w:val="auto"/>
        <w:rPr>
          <w:rFonts w:hint="eastAsia" w:ascii="宋体" w:hAnsi="宋体" w:eastAsia="宋体" w:cs="宋体"/>
          <w:color w:val="auto"/>
          <w:sz w:val="24"/>
          <w:szCs w:val="24"/>
          <w:u w:val="none"/>
          <w:lang w:eastAsia="zh-CN"/>
        </w:rPr>
      </w:pPr>
      <w:r>
        <w:rPr>
          <w:rFonts w:hint="eastAsia" w:ascii="宋体" w:hAnsi="宋体" w:eastAsia="宋体" w:cs="宋体"/>
          <w:b/>
          <w:bCs/>
          <w:color w:val="auto"/>
          <w:sz w:val="24"/>
          <w:szCs w:val="24"/>
          <w:u w:val="none"/>
          <w:lang w:val="en-US" w:eastAsia="zh-CN"/>
        </w:rPr>
        <w:t xml:space="preserve">第十二条  </w:t>
      </w:r>
      <w:r>
        <w:rPr>
          <w:rFonts w:hint="eastAsia" w:ascii="宋体" w:hAnsi="宋体" w:eastAsia="宋体" w:cs="宋体"/>
          <w:sz w:val="24"/>
          <w:szCs w:val="24"/>
        </w:rPr>
        <w:t>买受人是指以最高有效应价竞得拍卖标的</w:t>
      </w:r>
      <w:r>
        <w:rPr>
          <w:rFonts w:hint="eastAsia" w:ascii="宋体" w:hAnsi="宋体" w:eastAsia="宋体" w:cs="宋体"/>
          <w:sz w:val="24"/>
          <w:szCs w:val="24"/>
          <w:lang w:eastAsia="zh-CN"/>
        </w:rPr>
        <w:t>的</w:t>
      </w:r>
      <w:r>
        <w:rPr>
          <w:rFonts w:hint="eastAsia" w:ascii="宋体" w:hAnsi="宋体" w:eastAsia="宋体" w:cs="宋体"/>
          <w:sz w:val="24"/>
          <w:szCs w:val="24"/>
        </w:rPr>
        <w:t>竞买人。拍卖成交后，买受人须与拍卖人当场签署《拍卖成交确认书》并在《拍卖笔录》上签名或盖章。上述文件不论买受人是否签署，其全部条款即对买受人产生约束力并生效。</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Fonts w:hint="eastAsia" w:ascii="宋体" w:hAnsi="宋体" w:eastAsia="宋体" w:cs="宋体"/>
          <w:b/>
          <w:bCs w:val="0"/>
          <w:color w:val="000000"/>
          <w:sz w:val="24"/>
          <w:szCs w:val="24"/>
          <w:lang w:val="en-US" w:eastAsia="zh-CN"/>
        </w:rPr>
      </w:pP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Fonts w:hint="eastAsia" w:ascii="宋体" w:hAnsi="宋体" w:eastAsia="宋体" w:cs="宋体"/>
          <w:b/>
          <w:bCs w:val="0"/>
          <w:color w:val="000000"/>
          <w:sz w:val="24"/>
          <w:szCs w:val="24"/>
          <w:lang w:val="en-US" w:eastAsia="zh-CN"/>
        </w:rPr>
      </w:pPr>
      <w:r>
        <w:rPr>
          <w:rFonts w:hint="eastAsia" w:ascii="宋体" w:hAnsi="宋体" w:eastAsia="宋体" w:cs="宋体"/>
          <w:b/>
          <w:bCs w:val="0"/>
          <w:color w:val="000000"/>
          <w:sz w:val="24"/>
          <w:szCs w:val="24"/>
          <w:lang w:val="en-US" w:eastAsia="zh-CN"/>
        </w:rPr>
        <w:t>拍卖后期工作</w:t>
      </w:r>
    </w:p>
    <w:p>
      <w:pPr>
        <w:keepNext w:val="0"/>
        <w:keepLines w:val="0"/>
        <w:pageBreakBefore w:val="0"/>
        <w:widowControl w:val="0"/>
        <w:numPr>
          <w:ilvl w:val="0"/>
          <w:numId w:val="0"/>
        </w:numPr>
        <w:tabs>
          <w:tab w:val="left" w:pos="1995"/>
        </w:tabs>
        <w:kinsoku/>
        <w:wordWrap/>
        <w:overflowPunct/>
        <w:topLinePunct w:val="0"/>
        <w:autoSpaceDE/>
        <w:autoSpaceDN/>
        <w:bidi w:val="0"/>
        <w:adjustRightInd/>
        <w:snapToGrid/>
        <w:spacing w:line="360" w:lineRule="auto"/>
        <w:ind w:right="-178" w:rightChars="-85" w:firstLine="482" w:firstLineChars="200"/>
        <w:textAlignment w:val="auto"/>
        <w:rPr>
          <w:rFonts w:hint="eastAsia" w:ascii="宋体" w:hAnsi="宋体" w:eastAsia="宋体" w:cs="宋体"/>
          <w:sz w:val="24"/>
          <w:szCs w:val="24"/>
        </w:rPr>
      </w:pPr>
      <w:r>
        <w:rPr>
          <w:rFonts w:hint="eastAsia" w:ascii="宋体" w:hAnsi="宋体" w:eastAsia="宋体" w:cs="宋体"/>
          <w:b/>
          <w:bCs w:val="0"/>
          <w:color w:val="000000"/>
          <w:sz w:val="24"/>
          <w:szCs w:val="24"/>
          <w:lang w:val="en-US" w:eastAsia="zh-CN"/>
        </w:rPr>
        <w:t>第十三条</w:t>
      </w:r>
      <w:r>
        <w:rPr>
          <w:rFonts w:hint="eastAsia" w:ascii="宋体" w:hAnsi="宋体" w:eastAsia="宋体" w:cs="宋体"/>
          <w:b w:val="0"/>
          <w:bCs/>
          <w:color w:val="000000"/>
          <w:sz w:val="24"/>
          <w:szCs w:val="24"/>
          <w:lang w:val="en-US" w:eastAsia="zh-CN"/>
        </w:rPr>
        <w:t xml:space="preserve"> </w:t>
      </w:r>
      <w:r>
        <w:rPr>
          <w:rFonts w:hint="eastAsia" w:ascii="宋体" w:hAnsi="宋体" w:eastAsia="宋体" w:cs="宋体"/>
          <w:sz w:val="24"/>
          <w:szCs w:val="24"/>
        </w:rPr>
        <w:t>拍卖会结束后，由拍卖人当场向买受人发放《拍卖成交确认书》。</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未竞得拍卖标的的竞买人，在拍卖会结束后的3个工作日内，由拍卖人凭未成交竞买人报名时登记的户名及账号退还竞买保证金（按银行同期活期存款利率计息）；买受人的竞买保证金凭《商标权转让合同》复印件到拍卖人处退还（按银行同期活期存款利率计息）。</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如未收到竞买保证金的，请及时与拍卖人联系（0574-86867055）。</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bCs w:val="0"/>
          <w:color w:val="000000"/>
          <w:sz w:val="24"/>
          <w:szCs w:val="24"/>
          <w:lang w:val="en-US" w:eastAsia="zh-CN"/>
        </w:rPr>
      </w:pPr>
      <w:r>
        <w:rPr>
          <w:rFonts w:hint="eastAsia" w:ascii="宋体" w:hAnsi="宋体" w:eastAsia="宋体" w:cs="宋体"/>
          <w:b/>
          <w:bCs w:val="0"/>
          <w:color w:val="000000"/>
          <w:sz w:val="24"/>
          <w:szCs w:val="24"/>
          <w:lang w:val="en-US" w:eastAsia="zh-CN"/>
        </w:rPr>
        <w:t>第十四条 付款办法及签约时间</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1、买受人必须在2023年7月27日下午4时前（以实际到账为准）向委托人一次性付清成交款，并与委托人签订《商标权转让合同》。</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户名：</w:t>
      </w:r>
      <w:r>
        <w:rPr>
          <w:rFonts w:hint="eastAsia" w:ascii="宋体" w:hAnsi="宋体" w:eastAsia="宋体" w:cs="宋体"/>
          <w:sz w:val="24"/>
          <w:szCs w:val="24"/>
          <w:u w:val="none"/>
          <w:lang w:val="en-US" w:eastAsia="zh-CN"/>
        </w:rPr>
        <w:t>宁波舜丰农业投资集团有限公司</w:t>
      </w:r>
      <w:r>
        <w:rPr>
          <w:rFonts w:hint="eastAsia" w:ascii="宋体" w:hAnsi="宋体" w:eastAsia="宋体" w:cs="宋体"/>
          <w:b w:val="0"/>
          <w:bCs/>
          <w:color w:val="000000"/>
          <w:sz w:val="24"/>
          <w:szCs w:val="24"/>
          <w:lang w:val="en-US" w:eastAsia="zh-CN"/>
        </w:rPr>
        <w:t>，</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开户行：</w:t>
      </w:r>
      <w:r>
        <w:rPr>
          <w:rFonts w:hint="eastAsia" w:ascii="宋体" w:hAnsi="宋体" w:eastAsia="宋体" w:cs="宋体"/>
          <w:sz w:val="24"/>
          <w:szCs w:val="24"/>
          <w:u w:val="none"/>
          <w:lang w:eastAsia="zh-CN"/>
        </w:rPr>
        <w:t>中国农业银</w:t>
      </w:r>
      <w:r>
        <w:rPr>
          <w:rFonts w:hint="eastAsia" w:ascii="宋体" w:hAnsi="宋体" w:eastAsia="宋体" w:cs="宋体"/>
          <w:sz w:val="24"/>
          <w:szCs w:val="24"/>
          <w:u w:val="none"/>
        </w:rPr>
        <w:t>行余姚朗霞支行</w:t>
      </w:r>
      <w:r>
        <w:rPr>
          <w:rFonts w:hint="eastAsia" w:ascii="宋体" w:hAnsi="宋体" w:eastAsia="宋体" w:cs="宋体"/>
          <w:b w:val="0"/>
          <w:bCs/>
          <w:color w:val="000000"/>
          <w:sz w:val="24"/>
          <w:szCs w:val="24"/>
          <w:lang w:val="en-US" w:eastAsia="zh-CN"/>
        </w:rPr>
        <w:t>，</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账号：</w:t>
      </w:r>
      <w:r>
        <w:rPr>
          <w:rFonts w:hint="eastAsia" w:ascii="宋体" w:hAnsi="宋体" w:eastAsia="宋体" w:cs="宋体"/>
          <w:sz w:val="24"/>
          <w:szCs w:val="24"/>
          <w:u w:val="none"/>
        </w:rPr>
        <w:t>39617001040006713</w:t>
      </w:r>
      <w:r>
        <w:rPr>
          <w:rFonts w:hint="eastAsia" w:ascii="宋体" w:hAnsi="宋体" w:eastAsia="宋体" w:cs="宋体"/>
          <w:b w:val="0"/>
          <w:bCs/>
          <w:color w:val="000000"/>
          <w:sz w:val="24"/>
          <w:szCs w:val="24"/>
          <w:lang w:val="en-US" w:eastAsia="zh-CN"/>
        </w:rPr>
        <w:t>；以银行到账为准。</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2、拍卖成交后，拍卖人向买受人收取成交价4%的拍卖佣金，且于2023年7月27日下午4时前付至拍卖公司指定账户。</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户名：宁波亚德拍卖有限公司</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开户行：农业银行宁波塘湾支行</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账号：39308001040002674</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拍卖人只出具拍卖佣金发票，其他相关票据由委托人提供。</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color w:val="auto"/>
          <w:sz w:val="24"/>
          <w:szCs w:val="24"/>
          <w:lang w:eastAsia="zh-CN"/>
        </w:rPr>
        <w:t>第十五条</w:t>
      </w:r>
      <w:r>
        <w:rPr>
          <w:rFonts w:hint="eastAsia" w:ascii="宋体" w:hAnsi="宋体" w:eastAsia="宋体" w:cs="宋体"/>
          <w:b/>
          <w:color w:val="auto"/>
          <w:sz w:val="24"/>
          <w:szCs w:val="24"/>
          <w:lang w:val="en-US" w:eastAsia="zh-CN"/>
        </w:rPr>
        <w:t xml:space="preserve"> </w:t>
      </w:r>
      <w:r>
        <w:rPr>
          <w:rFonts w:hint="eastAsia" w:ascii="宋体" w:hAnsi="宋体" w:eastAsia="宋体" w:cs="宋体"/>
          <w:b/>
          <w:color w:val="000000"/>
          <w:sz w:val="24"/>
          <w:szCs w:val="24"/>
          <w:lang w:val="en-US" w:eastAsia="zh-CN"/>
        </w:rPr>
        <w:t xml:space="preserve"> 违约责任：</w:t>
      </w:r>
      <w:r>
        <w:rPr>
          <w:rFonts w:hint="eastAsia" w:ascii="宋体" w:hAnsi="宋体" w:eastAsia="宋体" w:cs="宋体"/>
          <w:b w:val="0"/>
          <w:bCs/>
          <w:color w:val="000000"/>
          <w:sz w:val="24"/>
          <w:szCs w:val="24"/>
          <w:lang w:val="en-US" w:eastAsia="zh-CN"/>
        </w:rPr>
        <w:t>买受人如未能按期足额支付上述款项或未签订《拍卖成交确认书》、《商标权转让合同》的，或未能按期足额支付本须知约定的所有款项等行为的，均视为买受人自愿放弃成交标的物，属违约：竞买保证金自动转为违约金，将不予退还，并取消该标的物再次拍卖时的竞买资格,且委托人有权按《拍卖法》第三十九条规定，追究违约责任。</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《拍卖法》第三十九条：买受人应当按照约定支付拍卖标的的价款，未按照约定支付价款的，应当承担违约责任，或者由拍卖人征得委托人的同意，将拍卖标的再行拍卖。</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拍卖标的再行拍卖的，原买受人应当支付第一次拍卖中本人及委托人应当支付的佣金。再行拍卖的价款低于原拍卖价款的，原买受人应当补足差额。</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bCs w:val="0"/>
          <w:color w:val="000000"/>
          <w:sz w:val="24"/>
          <w:szCs w:val="24"/>
          <w:lang w:val="en-US" w:eastAsia="zh-CN"/>
        </w:rPr>
        <w:t>第十六条</w:t>
      </w:r>
      <w:r>
        <w:rPr>
          <w:rFonts w:hint="eastAsia" w:ascii="宋体" w:hAnsi="宋体" w:eastAsia="宋体" w:cs="宋体"/>
          <w:b w:val="0"/>
          <w:bCs/>
          <w:color w:val="000000"/>
          <w:sz w:val="24"/>
          <w:szCs w:val="24"/>
          <w:lang w:val="en-US" w:eastAsia="zh-CN"/>
        </w:rPr>
        <w:t xml:space="preserve"> 所有权转让：签订《商标权转让合同》后由买受人、委托人至相关部门办理转让手续。</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bCs w:val="0"/>
          <w:color w:val="000000"/>
          <w:sz w:val="24"/>
          <w:szCs w:val="24"/>
          <w:lang w:val="en-US" w:eastAsia="zh-CN"/>
        </w:rPr>
        <w:t>第十七条</w:t>
      </w:r>
      <w:r>
        <w:rPr>
          <w:rFonts w:hint="eastAsia" w:ascii="宋体" w:hAnsi="宋体" w:eastAsia="宋体" w:cs="宋体"/>
          <w:b w:val="0"/>
          <w:bCs/>
          <w:color w:val="000000"/>
          <w:sz w:val="24"/>
          <w:szCs w:val="24"/>
          <w:lang w:val="en-US" w:eastAsia="zh-CN"/>
        </w:rPr>
        <w:t xml:space="preserve">  拍卖结果公告：《商标权转让合同》生效后的2个工作日内，由拍卖人将交易结果在宁波市公共资源交易网余姚市分网公告5个工作日。</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 xml:space="preserve"> </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Fonts w:hint="eastAsia" w:ascii="宋体" w:hAnsi="宋体" w:eastAsia="宋体" w:cs="宋体"/>
          <w:b/>
          <w:bCs w:val="0"/>
          <w:color w:val="000000"/>
          <w:sz w:val="24"/>
          <w:szCs w:val="24"/>
          <w:lang w:val="en-US" w:eastAsia="zh-CN"/>
        </w:rPr>
      </w:pPr>
      <w:r>
        <w:rPr>
          <w:rFonts w:hint="eastAsia" w:ascii="宋体" w:hAnsi="宋体" w:eastAsia="宋体" w:cs="宋体"/>
          <w:b/>
          <w:bCs w:val="0"/>
          <w:color w:val="000000"/>
          <w:sz w:val="24"/>
          <w:szCs w:val="24"/>
          <w:lang w:val="en-US" w:eastAsia="zh-CN"/>
        </w:rPr>
        <w:t>附 则</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bCs w:val="0"/>
          <w:color w:val="000000"/>
          <w:sz w:val="24"/>
          <w:szCs w:val="24"/>
          <w:lang w:val="en-US" w:eastAsia="zh-CN"/>
        </w:rPr>
        <w:t>第十八条</w:t>
      </w:r>
      <w:r>
        <w:rPr>
          <w:rFonts w:hint="eastAsia" w:ascii="宋体" w:hAnsi="宋体" w:eastAsia="宋体" w:cs="宋体"/>
          <w:b w:val="0"/>
          <w:bCs/>
          <w:color w:val="000000"/>
          <w:sz w:val="24"/>
          <w:szCs w:val="24"/>
          <w:lang w:val="en-US" w:eastAsia="zh-CN"/>
        </w:rPr>
        <w:t xml:space="preserve"> 对竞买人或买受人的通知或催告事宜，以其报名时所登记的联系电话为通讯方式，若该项不作记载，则以其身份证所载的住所为通讯地址。因无法联系或无法送达而产生的后果，由当事人自行承担，与委托人、拍卖人无涉。</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bCs w:val="0"/>
          <w:color w:val="000000"/>
          <w:sz w:val="24"/>
          <w:szCs w:val="24"/>
          <w:lang w:val="en-US" w:eastAsia="zh-CN"/>
        </w:rPr>
        <w:t>第十九条</w:t>
      </w:r>
      <w:r>
        <w:rPr>
          <w:rFonts w:hint="eastAsia" w:ascii="宋体" w:hAnsi="宋体" w:eastAsia="宋体" w:cs="宋体"/>
          <w:b w:val="0"/>
          <w:bCs/>
          <w:color w:val="000000"/>
          <w:sz w:val="24"/>
          <w:szCs w:val="24"/>
          <w:lang w:val="en-US" w:eastAsia="zh-CN"/>
        </w:rPr>
        <w:t xml:space="preserve"> 本须知解释权归本次拍卖活动的委托人、拍卖人所有。  </w:t>
      </w:r>
    </w:p>
    <w:p>
      <w:pPr>
        <w:keepNext w:val="0"/>
        <w:keepLines w:val="0"/>
        <w:pageBreakBefore w:val="0"/>
        <w:widowControl w:val="0"/>
        <w:kinsoku/>
        <w:wordWrap/>
        <w:overflowPunct/>
        <w:topLinePunct w:val="0"/>
        <w:autoSpaceDE/>
        <w:autoSpaceDN/>
        <w:bidi w:val="0"/>
        <w:adjustRightInd/>
        <w:snapToGrid/>
        <w:spacing w:before="156" w:beforeLines="50" w:after="156" w:afterLines="50" w:line="360" w:lineRule="auto"/>
        <w:jc w:val="center"/>
        <w:textAlignment w:val="auto"/>
        <w:rPr>
          <w:rFonts w:hint="eastAsia" w:ascii="宋体" w:hAnsi="宋体" w:eastAsia="宋体" w:cs="宋体"/>
          <w:b/>
          <w:sz w:val="24"/>
          <w:szCs w:val="24"/>
        </w:rPr>
      </w:pPr>
      <w:r>
        <w:rPr>
          <w:rFonts w:hint="eastAsia" w:ascii="宋体" w:hAnsi="宋体" w:eastAsia="宋体" w:cs="宋体"/>
          <w:b/>
          <w:sz w:val="24"/>
          <w:szCs w:val="24"/>
        </w:rPr>
        <w:t>会场纪律</w:t>
      </w:r>
    </w:p>
    <w:p>
      <w:pPr>
        <w:keepNext w:val="0"/>
        <w:keepLines w:val="0"/>
        <w:pageBreakBefore w:val="0"/>
        <w:widowControl w:val="0"/>
        <w:kinsoku/>
        <w:wordWrap/>
        <w:overflowPunct/>
        <w:topLinePunct w:val="0"/>
        <w:autoSpaceDE/>
        <w:autoSpaceDN/>
        <w:bidi w:val="0"/>
        <w:adjustRightInd/>
        <w:snapToGrid/>
        <w:spacing w:line="360" w:lineRule="auto"/>
        <w:ind w:firstLine="468" w:firstLineChars="195"/>
        <w:textAlignment w:val="auto"/>
        <w:rPr>
          <w:rFonts w:hint="eastAsia" w:ascii="宋体" w:hAnsi="宋体" w:eastAsia="宋体" w:cs="宋体"/>
          <w:kern w:val="0"/>
          <w:sz w:val="24"/>
          <w:szCs w:val="24"/>
        </w:rPr>
      </w:pPr>
      <w:r>
        <w:rPr>
          <w:rFonts w:hint="eastAsia" w:ascii="宋体" w:hAnsi="宋体" w:eastAsia="宋体" w:cs="宋体"/>
          <w:kern w:val="0"/>
          <w:sz w:val="24"/>
          <w:szCs w:val="24"/>
        </w:rPr>
        <w:t>一、竞买人有序进入拍卖会场，拍卖会现场必须服从工作人员的安排。</w:t>
      </w:r>
    </w:p>
    <w:p>
      <w:pPr>
        <w:keepNext w:val="0"/>
        <w:keepLines w:val="0"/>
        <w:pageBreakBefore w:val="0"/>
        <w:widowControl w:val="0"/>
        <w:kinsoku/>
        <w:wordWrap/>
        <w:overflowPunct/>
        <w:topLinePunct w:val="0"/>
        <w:autoSpaceDE/>
        <w:autoSpaceDN/>
        <w:bidi w:val="0"/>
        <w:adjustRightInd/>
        <w:snapToGrid/>
        <w:spacing w:line="360" w:lineRule="auto"/>
        <w:ind w:firstLine="468" w:firstLineChars="195"/>
        <w:textAlignment w:val="auto"/>
        <w:rPr>
          <w:rFonts w:hint="eastAsia" w:ascii="宋体" w:hAnsi="宋体" w:eastAsia="宋体" w:cs="宋体"/>
          <w:kern w:val="0"/>
          <w:sz w:val="24"/>
          <w:szCs w:val="24"/>
        </w:rPr>
      </w:pPr>
      <w:r>
        <w:rPr>
          <w:rFonts w:hint="eastAsia" w:ascii="宋体" w:hAnsi="宋体" w:eastAsia="宋体" w:cs="宋体"/>
          <w:kern w:val="0"/>
          <w:sz w:val="24"/>
          <w:szCs w:val="24"/>
        </w:rPr>
        <w:t>二、现场拍卖期间，要求竞买人之间间隔1个座位就坐参拍；严禁聚众扎堆。</w:t>
      </w:r>
    </w:p>
    <w:p>
      <w:pPr>
        <w:keepNext w:val="0"/>
        <w:keepLines w:val="0"/>
        <w:pageBreakBefore w:val="0"/>
        <w:widowControl w:val="0"/>
        <w:kinsoku/>
        <w:wordWrap/>
        <w:overflowPunct/>
        <w:topLinePunct w:val="0"/>
        <w:autoSpaceDE/>
        <w:autoSpaceDN/>
        <w:bidi w:val="0"/>
        <w:adjustRightInd/>
        <w:snapToGrid/>
        <w:spacing w:line="360" w:lineRule="auto"/>
        <w:ind w:firstLine="468" w:firstLineChars="195"/>
        <w:textAlignment w:val="auto"/>
        <w:rPr>
          <w:rFonts w:hint="eastAsia" w:ascii="宋体" w:hAnsi="宋体" w:eastAsia="宋体" w:cs="宋体"/>
          <w:kern w:val="0"/>
          <w:sz w:val="24"/>
          <w:szCs w:val="24"/>
        </w:rPr>
      </w:pPr>
      <w:r>
        <w:rPr>
          <w:rFonts w:hint="eastAsia" w:ascii="宋体" w:hAnsi="宋体" w:eastAsia="宋体" w:cs="宋体"/>
          <w:kern w:val="0"/>
          <w:sz w:val="24"/>
          <w:szCs w:val="24"/>
        </w:rPr>
        <w:t>三、进入拍卖会场后，请保持安静，不得大声喧哗。</w:t>
      </w:r>
    </w:p>
    <w:p>
      <w:pPr>
        <w:keepNext w:val="0"/>
        <w:keepLines w:val="0"/>
        <w:pageBreakBefore w:val="0"/>
        <w:widowControl w:val="0"/>
        <w:kinsoku/>
        <w:wordWrap/>
        <w:overflowPunct/>
        <w:topLinePunct w:val="0"/>
        <w:autoSpaceDE/>
        <w:autoSpaceDN/>
        <w:bidi w:val="0"/>
        <w:adjustRightInd/>
        <w:snapToGrid/>
        <w:spacing w:line="360" w:lineRule="auto"/>
        <w:ind w:firstLine="468" w:firstLineChars="195"/>
        <w:textAlignment w:val="auto"/>
        <w:rPr>
          <w:rFonts w:hint="eastAsia" w:ascii="宋体" w:hAnsi="宋体" w:eastAsia="宋体" w:cs="宋体"/>
          <w:kern w:val="0"/>
          <w:sz w:val="24"/>
          <w:szCs w:val="24"/>
        </w:rPr>
      </w:pPr>
      <w:r>
        <w:rPr>
          <w:rFonts w:hint="eastAsia" w:ascii="宋体" w:hAnsi="宋体" w:eastAsia="宋体" w:cs="宋体"/>
          <w:kern w:val="0"/>
          <w:sz w:val="24"/>
          <w:szCs w:val="24"/>
        </w:rPr>
        <w:t>四、自觉爱护场内公共设施、设备，对故意毁坏造成的损失，由当事人负责赔偿。</w:t>
      </w:r>
    </w:p>
    <w:p>
      <w:pPr>
        <w:keepNext w:val="0"/>
        <w:keepLines w:val="0"/>
        <w:pageBreakBefore w:val="0"/>
        <w:widowControl w:val="0"/>
        <w:kinsoku/>
        <w:wordWrap/>
        <w:overflowPunct/>
        <w:topLinePunct w:val="0"/>
        <w:autoSpaceDE/>
        <w:autoSpaceDN/>
        <w:bidi w:val="0"/>
        <w:adjustRightInd/>
        <w:snapToGrid/>
        <w:spacing w:line="360" w:lineRule="auto"/>
        <w:ind w:firstLine="468" w:firstLineChars="195"/>
        <w:textAlignment w:val="auto"/>
        <w:rPr>
          <w:rFonts w:hint="eastAsia" w:ascii="宋体" w:hAnsi="宋体" w:eastAsia="宋体" w:cs="宋体"/>
          <w:kern w:val="0"/>
          <w:sz w:val="24"/>
          <w:szCs w:val="24"/>
        </w:rPr>
      </w:pPr>
      <w:r>
        <w:rPr>
          <w:rFonts w:hint="eastAsia" w:ascii="宋体" w:hAnsi="宋体" w:eastAsia="宋体" w:cs="宋体"/>
          <w:kern w:val="0"/>
          <w:sz w:val="24"/>
          <w:szCs w:val="24"/>
        </w:rPr>
        <w:t>五、对故意扰乱现场秩序、干扰拍卖会正常进行的竞买人，工作人员有权将劝其退场。</w:t>
      </w:r>
    </w:p>
    <w:p>
      <w:pPr>
        <w:keepNext w:val="0"/>
        <w:keepLines w:val="0"/>
        <w:pageBreakBefore w:val="0"/>
        <w:widowControl w:val="0"/>
        <w:kinsoku/>
        <w:wordWrap/>
        <w:overflowPunct/>
        <w:topLinePunct w:val="0"/>
        <w:autoSpaceDE/>
        <w:autoSpaceDN/>
        <w:bidi w:val="0"/>
        <w:adjustRightInd/>
        <w:snapToGrid/>
        <w:spacing w:line="360" w:lineRule="auto"/>
        <w:ind w:firstLine="468" w:firstLineChars="195"/>
        <w:textAlignment w:val="auto"/>
        <w:rPr>
          <w:rFonts w:hint="eastAsia" w:ascii="宋体" w:hAnsi="宋体" w:eastAsia="宋体" w:cs="宋体"/>
          <w:kern w:val="0"/>
          <w:sz w:val="24"/>
          <w:szCs w:val="24"/>
        </w:rPr>
      </w:pPr>
      <w:r>
        <w:rPr>
          <w:rFonts w:hint="eastAsia" w:ascii="宋体" w:hAnsi="宋体" w:eastAsia="宋体" w:cs="宋体"/>
          <w:kern w:val="0"/>
          <w:sz w:val="24"/>
          <w:szCs w:val="24"/>
        </w:rPr>
        <w:t>六、拍卖会结束后，要求竞买人有序退场，同时将号牌归还工作人员。</w:t>
      </w:r>
    </w:p>
    <w:p>
      <w:pPr>
        <w:keepNext w:val="0"/>
        <w:keepLines w:val="0"/>
        <w:pageBreakBefore w:val="0"/>
        <w:widowControl w:val="0"/>
        <w:kinsoku/>
        <w:wordWrap/>
        <w:overflowPunct/>
        <w:topLinePunct w:val="0"/>
        <w:autoSpaceDE/>
        <w:autoSpaceDN/>
        <w:bidi w:val="0"/>
        <w:adjustRightInd/>
        <w:snapToGrid/>
        <w:spacing w:line="360" w:lineRule="auto"/>
        <w:ind w:firstLine="468" w:firstLineChars="195"/>
        <w:textAlignment w:val="auto"/>
        <w:rPr>
          <w:rFonts w:hint="eastAsia" w:ascii="宋体" w:hAnsi="宋体" w:eastAsia="宋体" w:cs="宋体"/>
          <w:kern w:val="0"/>
          <w:sz w:val="24"/>
          <w:szCs w:val="24"/>
        </w:rPr>
      </w:pPr>
      <w:r>
        <w:rPr>
          <w:rFonts w:hint="eastAsia" w:ascii="宋体" w:hAnsi="宋体" w:eastAsia="宋体" w:cs="宋体"/>
          <w:kern w:val="0"/>
          <w:sz w:val="24"/>
          <w:szCs w:val="24"/>
        </w:rPr>
        <w:t>七、在会场内禁止吸烟。</w:t>
      </w:r>
    </w:p>
    <w:p>
      <w:pPr>
        <w:keepNext w:val="0"/>
        <w:keepLines w:val="0"/>
        <w:pageBreakBefore w:val="0"/>
        <w:widowControl w:val="0"/>
        <w:kinsoku/>
        <w:wordWrap/>
        <w:overflowPunct/>
        <w:topLinePunct w:val="0"/>
        <w:autoSpaceDE/>
        <w:autoSpaceDN/>
        <w:bidi w:val="0"/>
        <w:adjustRightInd/>
        <w:snapToGrid/>
        <w:spacing w:line="360" w:lineRule="auto"/>
        <w:ind w:firstLine="468" w:firstLineChars="195"/>
        <w:textAlignment w:val="auto"/>
        <w:rPr>
          <w:rFonts w:hint="eastAsia" w:ascii="宋体" w:hAnsi="宋体" w:eastAsia="宋体" w:cs="宋体"/>
          <w:kern w:val="0"/>
          <w:sz w:val="24"/>
          <w:szCs w:val="24"/>
        </w:rPr>
      </w:pPr>
      <w:r>
        <w:rPr>
          <w:rFonts w:hint="eastAsia" w:ascii="宋体" w:hAnsi="宋体" w:eastAsia="宋体" w:cs="宋体"/>
          <w:kern w:val="0"/>
          <w:sz w:val="24"/>
          <w:szCs w:val="24"/>
        </w:rPr>
        <w:t>八、妥善保管好个人物品，损坏、丢失等后果自负。</w:t>
      </w:r>
    </w:p>
    <w:p>
      <w:pPr>
        <w:keepNext w:val="0"/>
        <w:keepLines w:val="0"/>
        <w:pageBreakBefore w:val="0"/>
        <w:widowControl w:val="0"/>
        <w:kinsoku/>
        <w:wordWrap/>
        <w:overflowPunct/>
        <w:topLinePunct w:val="0"/>
        <w:autoSpaceDE/>
        <w:autoSpaceDN/>
        <w:bidi w:val="0"/>
        <w:adjustRightInd/>
        <w:snapToGrid/>
        <w:spacing w:line="360" w:lineRule="auto"/>
        <w:ind w:firstLine="468" w:firstLineChars="195"/>
        <w:textAlignment w:val="auto"/>
        <w:rPr>
          <w:rFonts w:hint="eastAsia" w:ascii="宋体" w:hAnsi="宋体" w:eastAsia="宋体" w:cs="宋体"/>
          <w:color w:val="auto"/>
          <w:kern w:val="0"/>
          <w:sz w:val="24"/>
          <w:szCs w:val="24"/>
        </w:rPr>
      </w:pPr>
      <w:r>
        <w:rPr>
          <w:rFonts w:hint="eastAsia" w:ascii="宋体" w:hAnsi="宋体" w:eastAsia="宋体" w:cs="宋体"/>
          <w:kern w:val="0"/>
          <w:sz w:val="24"/>
          <w:szCs w:val="24"/>
        </w:rPr>
        <w:t>九、理性应价，谨慎举牌。</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jc w:val="left"/>
        <w:textAlignment w:val="auto"/>
        <w:rPr>
          <w:rFonts w:hint="eastAsia" w:ascii="宋体" w:hAnsi="宋体" w:eastAsia="宋体" w:cs="宋体"/>
          <w:b w:val="0"/>
          <w:bCs/>
          <w:color w:val="000000"/>
          <w:sz w:val="24"/>
          <w:szCs w:val="24"/>
          <w:lang w:val="en-US" w:eastAsia="zh-CN"/>
        </w:rPr>
      </w:pP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jc w:val="righ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 xml:space="preserve">  宁波亚德拍卖有限公司 </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 xml:space="preserve">                                                     2023年7月14日</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本人确认已对以上《拍卖须知》进行了认真研读，并对本次拍卖标的进行了充分、全面的了解，一旦参与拍卖视为予以认可，现承诺在本次拍卖活动中严格履行上述各项条款。</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签字(盖章)：                         年   月   日</w:t>
      </w:r>
    </w:p>
    <w:p>
      <w:pPr>
        <w:ind w:firstLine="2650" w:firstLineChars="600"/>
        <w:rPr>
          <w:rFonts w:hint="eastAsia"/>
          <w:b/>
          <w:bCs/>
          <w:sz w:val="44"/>
          <w:szCs w:val="44"/>
        </w:rPr>
      </w:pPr>
    </w:p>
    <w:p>
      <w:pPr>
        <w:ind w:firstLine="2650" w:firstLineChars="600"/>
        <w:rPr>
          <w:rFonts w:hint="eastAsia" w:eastAsia="宋体"/>
          <w:b w:val="0"/>
          <w:bCs w:val="0"/>
          <w:sz w:val="32"/>
          <w:szCs w:val="32"/>
          <w:lang w:val="en-US" w:eastAsia="zh-CN"/>
        </w:rPr>
      </w:pPr>
      <w:r>
        <w:rPr>
          <w:rFonts w:hint="eastAsia"/>
          <w:b/>
          <w:bCs/>
          <w:sz w:val="44"/>
          <w:szCs w:val="44"/>
        </w:rPr>
        <w:t>商标</w:t>
      </w:r>
      <w:r>
        <w:rPr>
          <w:rFonts w:hint="eastAsia"/>
          <w:b/>
          <w:bCs/>
          <w:sz w:val="44"/>
          <w:szCs w:val="44"/>
          <w:lang w:eastAsia="zh-CN"/>
        </w:rPr>
        <w:t>权</w:t>
      </w:r>
      <w:r>
        <w:rPr>
          <w:rFonts w:hint="eastAsia"/>
          <w:b/>
          <w:bCs/>
          <w:sz w:val="44"/>
          <w:szCs w:val="44"/>
        </w:rPr>
        <w:t>转让合同</w:t>
      </w:r>
      <w:r>
        <w:rPr>
          <w:rFonts w:hint="eastAsia"/>
          <w:b w:val="0"/>
          <w:bCs w:val="0"/>
          <w:sz w:val="32"/>
          <w:szCs w:val="32"/>
          <w:lang w:val="en-US" w:eastAsia="zh-CN"/>
        </w:rPr>
        <w:t>（样本）</w:t>
      </w:r>
    </w:p>
    <w:p>
      <w:pPr>
        <w:jc w:val="both"/>
        <w:rPr>
          <w:rFonts w:hint="eastAsia"/>
          <w:sz w:val="30"/>
          <w:szCs w:val="30"/>
        </w:rPr>
      </w:pPr>
      <w:r>
        <w:rPr>
          <w:rFonts w:hint="eastAsia"/>
          <w:sz w:val="30"/>
          <w:szCs w:val="30"/>
        </w:rPr>
        <w:t xml:space="preserve"> </w:t>
      </w:r>
    </w:p>
    <w:p>
      <w:pPr>
        <w:jc w:val="both"/>
        <w:rPr>
          <w:rFonts w:hint="eastAsia" w:ascii="宋体" w:hAnsi="宋体" w:eastAsia="宋体" w:cs="宋体"/>
          <w:sz w:val="28"/>
          <w:szCs w:val="28"/>
        </w:rPr>
      </w:pPr>
      <w:r>
        <w:rPr>
          <w:rFonts w:hint="eastAsia" w:ascii="宋体" w:hAnsi="宋体" w:eastAsia="宋体" w:cs="宋体"/>
          <w:sz w:val="28"/>
          <w:szCs w:val="28"/>
        </w:rPr>
        <w:t xml:space="preserve">商标权转让方：（甲方） </w:t>
      </w:r>
    </w:p>
    <w:p>
      <w:pPr>
        <w:jc w:val="both"/>
        <w:rPr>
          <w:rFonts w:hint="eastAsia" w:ascii="宋体" w:hAnsi="宋体" w:eastAsia="宋体" w:cs="宋体"/>
          <w:sz w:val="28"/>
          <w:szCs w:val="28"/>
        </w:rPr>
      </w:pPr>
      <w:r>
        <w:rPr>
          <w:rFonts w:hint="eastAsia" w:ascii="宋体" w:hAnsi="宋体" w:eastAsia="宋体" w:cs="宋体"/>
          <w:sz w:val="28"/>
          <w:szCs w:val="28"/>
        </w:rPr>
        <w:t>商标权受让方：（乙方）</w:t>
      </w:r>
    </w:p>
    <w:p>
      <w:pPr>
        <w:rPr>
          <w:rFonts w:hint="eastAsia" w:ascii="宋体" w:hAnsi="宋体" w:eastAsia="宋体" w:cs="宋体"/>
          <w:sz w:val="28"/>
          <w:szCs w:val="28"/>
        </w:rPr>
      </w:pPr>
      <w:r>
        <w:rPr>
          <w:rFonts w:hint="eastAsia" w:ascii="宋体" w:hAnsi="宋体" w:eastAsia="宋体" w:cs="宋体"/>
          <w:sz w:val="28"/>
          <w:szCs w:val="28"/>
        </w:rPr>
        <w:t>甲、乙双方经协商一致，对商标权的转让达成如下协议：</w:t>
      </w:r>
    </w:p>
    <w:p>
      <w:pPr>
        <w:rPr>
          <w:rFonts w:hint="eastAsia" w:ascii="宋体" w:hAnsi="宋体" w:eastAsia="宋体" w:cs="宋体"/>
          <w:sz w:val="28"/>
          <w:szCs w:val="28"/>
        </w:rPr>
      </w:pPr>
      <w:r>
        <w:rPr>
          <w:rFonts w:hint="eastAsia" w:ascii="宋体" w:hAnsi="宋体" w:eastAsia="宋体" w:cs="宋体"/>
          <w:sz w:val="28"/>
          <w:szCs w:val="28"/>
        </w:rPr>
        <w:t xml:space="preserve">一、转让的商标名称： </w:t>
      </w:r>
    </w:p>
    <w:p>
      <w:pPr>
        <w:rPr>
          <w:rFonts w:hint="eastAsia" w:ascii="宋体" w:hAnsi="宋体" w:eastAsia="宋体" w:cs="宋体"/>
          <w:sz w:val="28"/>
          <w:szCs w:val="28"/>
        </w:rPr>
      </w:pPr>
      <w:r>
        <w:rPr>
          <w:rFonts w:hint="eastAsia" w:ascii="宋体" w:hAnsi="宋体" w:eastAsia="宋体" w:cs="宋体"/>
          <w:sz w:val="28"/>
          <w:szCs w:val="28"/>
        </w:rPr>
        <w:t xml:space="preserve">二、商标图样（贴商标图样，并由转让方盖骑缝章） </w:t>
      </w:r>
    </w:p>
    <w:p>
      <w:pPr>
        <w:rPr>
          <w:rFonts w:hint="eastAsia" w:ascii="宋体" w:hAnsi="宋体" w:eastAsia="宋体" w:cs="宋体"/>
          <w:sz w:val="28"/>
          <w:szCs w:val="28"/>
        </w:rPr>
      </w:pPr>
      <w:r>
        <w:rPr>
          <w:rFonts w:hint="eastAsia" w:ascii="宋体" w:hAnsi="宋体" w:eastAsia="宋体" w:cs="宋体"/>
          <w:sz w:val="28"/>
          <w:szCs w:val="28"/>
        </w:rPr>
        <w:t xml:space="preserve">三、商标注册号： </w:t>
      </w:r>
    </w:p>
    <w:p>
      <w:pPr>
        <w:rPr>
          <w:rFonts w:hint="eastAsia" w:ascii="宋体" w:hAnsi="宋体" w:eastAsia="宋体" w:cs="宋体"/>
          <w:sz w:val="28"/>
          <w:szCs w:val="28"/>
        </w:rPr>
      </w:pPr>
      <w:r>
        <w:rPr>
          <w:rFonts w:hint="eastAsia" w:ascii="宋体" w:hAnsi="宋体" w:eastAsia="宋体" w:cs="宋体"/>
          <w:sz w:val="28"/>
          <w:szCs w:val="28"/>
        </w:rPr>
        <w:t>四、该商标取得注册所包括的商品或服务的类别及商品或服务的具体名称：</w:t>
      </w:r>
    </w:p>
    <w:p>
      <w:pPr>
        <w:rPr>
          <w:rFonts w:hint="eastAsia" w:ascii="宋体" w:hAnsi="宋体" w:eastAsia="宋体" w:cs="宋体"/>
          <w:sz w:val="28"/>
          <w:szCs w:val="28"/>
        </w:rPr>
      </w:pPr>
      <w:r>
        <w:rPr>
          <w:rFonts w:hint="eastAsia" w:ascii="宋体" w:hAnsi="宋体" w:eastAsia="宋体" w:cs="宋体"/>
          <w:sz w:val="28"/>
          <w:szCs w:val="28"/>
        </w:rPr>
        <w:t>五、商标权转让方保证是上述商标的注册所有人。</w:t>
      </w:r>
    </w:p>
    <w:p>
      <w:pPr>
        <w:rPr>
          <w:rFonts w:hint="eastAsia" w:ascii="宋体" w:hAnsi="宋体" w:eastAsia="宋体" w:cs="宋体"/>
          <w:sz w:val="28"/>
          <w:szCs w:val="28"/>
        </w:rPr>
      </w:pPr>
      <w:r>
        <w:rPr>
          <w:rFonts w:hint="eastAsia" w:ascii="宋体" w:hAnsi="宋体" w:eastAsia="宋体" w:cs="宋体"/>
          <w:sz w:val="28"/>
          <w:szCs w:val="28"/>
        </w:rPr>
        <w:t>六、商标权转让后，受让方的权限：</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 xml:space="preserve"> 1.可以使用该商标的商品种类（或服务的类别及名称）：</w:t>
      </w:r>
    </w:p>
    <w:p>
      <w:pPr>
        <w:ind w:firstLine="560" w:firstLineChars="200"/>
        <w:rPr>
          <w:rFonts w:hint="eastAsia" w:ascii="宋体" w:hAnsi="宋体" w:eastAsia="宋体" w:cs="宋体"/>
          <w:sz w:val="28"/>
          <w:szCs w:val="28"/>
          <w:u w:val="single"/>
        </w:rPr>
      </w:pPr>
      <w:r>
        <w:rPr>
          <w:rFonts w:hint="eastAsia" w:ascii="宋体" w:hAnsi="宋体" w:eastAsia="宋体" w:cs="宋体"/>
          <w:sz w:val="28"/>
          <w:szCs w:val="28"/>
        </w:rPr>
        <w:t xml:space="preserve"> 2.可以使用该商标的地域范围：</w:t>
      </w:r>
    </w:p>
    <w:p>
      <w:pPr>
        <w:rPr>
          <w:rFonts w:hint="eastAsia" w:ascii="宋体" w:hAnsi="宋体" w:eastAsia="宋体" w:cs="宋体"/>
          <w:sz w:val="28"/>
          <w:szCs w:val="28"/>
        </w:rPr>
      </w:pPr>
      <w:r>
        <w:rPr>
          <w:rFonts w:hint="eastAsia" w:ascii="宋体" w:hAnsi="宋体" w:eastAsia="宋体" w:cs="宋体"/>
          <w:sz w:val="28"/>
          <w:szCs w:val="28"/>
        </w:rPr>
        <w:t>七、商标权转让的性质（可在下列项目中作出选择）： 1.永久性的商标权转让（ ）； 2.非永久性的商标权转让（ ）。</w:t>
      </w:r>
    </w:p>
    <w:p>
      <w:pPr>
        <w:numPr>
          <w:ilvl w:val="0"/>
          <w:numId w:val="0"/>
        </w:numPr>
        <w:rPr>
          <w:rFonts w:hint="eastAsia" w:ascii="宋体" w:hAnsi="宋体" w:eastAsia="宋体" w:cs="宋体"/>
          <w:sz w:val="28"/>
          <w:szCs w:val="28"/>
        </w:rPr>
      </w:pPr>
      <w:r>
        <w:rPr>
          <w:rFonts w:hint="eastAsia" w:ascii="宋体" w:hAnsi="宋体" w:eastAsia="宋体" w:cs="宋体"/>
          <w:sz w:val="28"/>
          <w:szCs w:val="28"/>
        </w:rPr>
        <w:t>八、商标权转让的时间： 在本合同生效之日起，或办妥商标转让变更注册手续后，该商标权正式转归受让方。 属永久性商标权转让。</w:t>
      </w:r>
    </w:p>
    <w:p>
      <w:pPr>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九</w:t>
      </w:r>
      <w:r>
        <w:rPr>
          <w:rFonts w:hint="eastAsia" w:ascii="宋体" w:hAnsi="宋体" w:eastAsia="宋体" w:cs="宋体"/>
          <w:sz w:val="28"/>
          <w:szCs w:val="28"/>
        </w:rPr>
        <w:t>、商标转让合同生效后的变更手续： 由甲方（或乙方）在商标权转让合同生效后，办理变更注册人的手续，变更注册人所需费用由_</w:t>
      </w:r>
      <w:r>
        <w:rPr>
          <w:rFonts w:hint="eastAsia" w:ascii="宋体" w:hAnsi="宋体" w:eastAsia="宋体" w:cs="宋体"/>
          <w:sz w:val="28"/>
          <w:szCs w:val="28"/>
          <w:u w:val="single"/>
          <w:lang w:val="en-US" w:eastAsia="zh-CN"/>
        </w:rPr>
        <w:t xml:space="preserve">乙 </w:t>
      </w:r>
      <w:r>
        <w:rPr>
          <w:rFonts w:hint="eastAsia" w:ascii="宋体" w:hAnsi="宋体" w:eastAsia="宋体" w:cs="宋体"/>
          <w:sz w:val="28"/>
          <w:szCs w:val="28"/>
        </w:rPr>
        <w:t>方承担。商标转让变更受理后，以</w:t>
      </w:r>
      <w:r>
        <w:rPr>
          <w:rFonts w:hint="eastAsia" w:ascii="宋体" w:hAnsi="宋体" w:eastAsia="宋体" w:cs="宋体"/>
          <w:sz w:val="28"/>
          <w:szCs w:val="28"/>
          <w:lang w:val="en-US" w:eastAsia="zh-CN"/>
        </w:rPr>
        <w:t>实际</w:t>
      </w:r>
      <w:r>
        <w:rPr>
          <w:rFonts w:hint="eastAsia" w:ascii="宋体" w:hAnsi="宋体" w:eastAsia="宋体" w:cs="宋体"/>
          <w:sz w:val="28"/>
          <w:szCs w:val="28"/>
        </w:rPr>
        <w:t>审批核准时间为准。</w:t>
      </w:r>
    </w:p>
    <w:p>
      <w:pPr>
        <w:rPr>
          <w:rFonts w:hint="eastAsia" w:ascii="宋体" w:hAnsi="宋体" w:eastAsia="宋体" w:cs="宋体"/>
          <w:sz w:val="28"/>
          <w:szCs w:val="28"/>
        </w:rPr>
      </w:pPr>
    </w:p>
    <w:p>
      <w:pPr>
        <w:numPr>
          <w:ilvl w:val="0"/>
          <w:numId w:val="0"/>
        </w:numPr>
        <w:rPr>
          <w:rFonts w:hint="eastAsia" w:ascii="宋体" w:hAnsi="宋体" w:eastAsia="宋体" w:cs="宋体"/>
          <w:sz w:val="28"/>
          <w:szCs w:val="28"/>
        </w:rPr>
      </w:pPr>
      <w:r>
        <w:rPr>
          <w:rFonts w:hint="eastAsia" w:ascii="宋体" w:hAnsi="宋体" w:eastAsia="宋体" w:cs="宋体"/>
          <w:sz w:val="28"/>
          <w:szCs w:val="28"/>
        </w:rPr>
        <w:t>十</w:t>
      </w:r>
      <w:r>
        <w:rPr>
          <w:rFonts w:hint="eastAsia" w:ascii="宋体" w:hAnsi="宋体" w:eastAsia="宋体" w:cs="宋体"/>
          <w:kern w:val="2"/>
          <w:sz w:val="28"/>
          <w:szCs w:val="28"/>
          <w:lang w:val="en-US" w:eastAsia="zh-CN" w:bidi="ar-SA"/>
        </w:rPr>
        <w:t>、</w:t>
      </w:r>
      <w:r>
        <w:rPr>
          <w:rFonts w:hint="eastAsia" w:ascii="宋体" w:hAnsi="宋体" w:eastAsia="宋体" w:cs="宋体"/>
          <w:sz w:val="28"/>
          <w:szCs w:val="28"/>
        </w:rPr>
        <w:t>转让方应保证被转让的商标为有效商标，并保证没有第三方拥有该商标所有权。</w:t>
      </w:r>
    </w:p>
    <w:p>
      <w:pPr>
        <w:numPr>
          <w:ilvl w:val="0"/>
          <w:numId w:val="0"/>
        </w:numPr>
        <w:ind w:left="0" w:leftChars="0" w:firstLine="0" w:firstLineChars="0"/>
        <w:rPr>
          <w:rFonts w:hint="eastAsia" w:ascii="宋体" w:hAnsi="宋体" w:eastAsia="宋体" w:cs="宋体"/>
          <w:sz w:val="28"/>
          <w:szCs w:val="28"/>
        </w:rPr>
      </w:pPr>
      <w:r>
        <w:rPr>
          <w:rFonts w:hint="eastAsia" w:ascii="宋体" w:hAnsi="宋体" w:eastAsia="宋体" w:cs="宋体"/>
          <w:kern w:val="2"/>
          <w:sz w:val="28"/>
          <w:szCs w:val="28"/>
          <w:lang w:val="en-US" w:eastAsia="zh-CN" w:bidi="ar-SA"/>
        </w:rPr>
        <w:t>十一、</w:t>
      </w:r>
      <w:r>
        <w:rPr>
          <w:rFonts w:hint="eastAsia" w:ascii="宋体" w:hAnsi="宋体" w:eastAsia="宋体" w:cs="宋体"/>
          <w:sz w:val="28"/>
          <w:szCs w:val="28"/>
        </w:rPr>
        <w:t>商标权转让的转让费与付款方式：</w:t>
      </w:r>
    </w:p>
    <w:p>
      <w:pPr>
        <w:numPr>
          <w:ilvl w:val="0"/>
          <w:numId w:val="2"/>
        </w:numPr>
        <w:ind w:left="150" w:leftChars="0" w:firstLine="0" w:firstLineChars="0"/>
        <w:rPr>
          <w:rFonts w:hint="eastAsia" w:ascii="宋体" w:hAnsi="宋体" w:eastAsia="宋体" w:cs="宋体"/>
          <w:sz w:val="28"/>
          <w:szCs w:val="28"/>
        </w:rPr>
      </w:pPr>
      <w:r>
        <w:rPr>
          <w:rFonts w:hint="eastAsia" w:ascii="宋体" w:hAnsi="宋体" w:eastAsia="宋体" w:cs="宋体"/>
          <w:sz w:val="28"/>
          <w:szCs w:val="28"/>
        </w:rPr>
        <w:t>转让费________万元；</w:t>
      </w:r>
    </w:p>
    <w:p>
      <w:pPr>
        <w:numPr>
          <w:ilvl w:val="0"/>
          <w:numId w:val="2"/>
        </w:numPr>
        <w:ind w:left="150" w:leftChars="0" w:firstLine="0" w:firstLineChars="0"/>
        <w:rPr>
          <w:rFonts w:hint="eastAsia" w:ascii="宋体" w:hAnsi="宋体" w:eastAsia="宋体" w:cs="宋体"/>
          <w:sz w:val="28"/>
          <w:szCs w:val="28"/>
        </w:rPr>
      </w:pPr>
      <w:r>
        <w:rPr>
          <w:rFonts w:hint="eastAsia" w:ascii="宋体" w:hAnsi="宋体" w:eastAsia="宋体" w:cs="宋体"/>
          <w:sz w:val="28"/>
          <w:szCs w:val="28"/>
        </w:rPr>
        <w:t>付款方式：</w:t>
      </w:r>
      <w:r>
        <w:rPr>
          <w:rFonts w:hint="eastAsia" w:ascii="宋体" w:hAnsi="宋体" w:eastAsia="宋体" w:cs="宋体"/>
          <w:sz w:val="28"/>
          <w:szCs w:val="28"/>
          <w:u w:val="single"/>
          <w:lang w:val="en-US" w:eastAsia="zh-CN"/>
        </w:rPr>
        <w:t xml:space="preserve">              </w:t>
      </w:r>
    </w:p>
    <w:p>
      <w:pPr>
        <w:numPr>
          <w:ilvl w:val="0"/>
          <w:numId w:val="2"/>
        </w:numPr>
        <w:ind w:left="150" w:leftChars="0" w:firstLine="0" w:firstLineChars="0"/>
        <w:rPr>
          <w:rFonts w:hint="eastAsia" w:ascii="宋体" w:hAnsi="宋体" w:eastAsia="宋体" w:cs="宋体"/>
          <w:sz w:val="28"/>
          <w:szCs w:val="28"/>
        </w:rPr>
      </w:pPr>
      <w:r>
        <w:rPr>
          <w:rFonts w:hint="eastAsia" w:ascii="宋体" w:hAnsi="宋体" w:eastAsia="宋体" w:cs="宋体"/>
          <w:sz w:val="28"/>
          <w:szCs w:val="28"/>
        </w:rPr>
        <w:t>付款时间：</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 xml:space="preserve"> </w:t>
      </w:r>
    </w:p>
    <w:p>
      <w:pPr>
        <w:wordWrap w:val="0"/>
        <w:adjustRightInd w:val="0"/>
        <w:snapToGrid w:val="0"/>
        <w:spacing w:line="360" w:lineRule="auto"/>
        <w:rPr>
          <w:rFonts w:hint="eastAsia" w:ascii="宋体" w:hAnsi="宋体" w:eastAsia="宋体" w:cs="宋体"/>
          <w:b w:val="0"/>
          <w:bCs/>
          <w:sz w:val="28"/>
          <w:szCs w:val="28"/>
        </w:rPr>
      </w:pPr>
      <w:r>
        <w:rPr>
          <w:rFonts w:hint="eastAsia" w:ascii="宋体" w:hAnsi="宋体" w:eastAsia="宋体" w:cs="宋体"/>
          <w:b w:val="0"/>
          <w:bCs/>
          <w:sz w:val="28"/>
          <w:szCs w:val="28"/>
          <w:lang w:val="en-US" w:eastAsia="zh-CN"/>
        </w:rPr>
        <w:t>十二</w:t>
      </w:r>
      <w:r>
        <w:rPr>
          <w:rFonts w:hint="eastAsia" w:ascii="宋体" w:hAnsi="宋体" w:eastAsia="宋体" w:cs="宋体"/>
          <w:sz w:val="28"/>
          <w:szCs w:val="28"/>
        </w:rPr>
        <w:t>、</w:t>
      </w:r>
      <w:r>
        <w:rPr>
          <w:rFonts w:hint="eastAsia" w:ascii="宋体" w:hAnsi="宋体" w:eastAsia="宋体" w:cs="宋体"/>
          <w:b w:val="0"/>
          <w:bCs/>
          <w:sz w:val="28"/>
          <w:szCs w:val="28"/>
        </w:rPr>
        <w:t xml:space="preserve">  争议的解决方式</w:t>
      </w:r>
    </w:p>
    <w:p>
      <w:pPr>
        <w:wordWrap w:val="0"/>
        <w:adjustRightInd w:val="0"/>
        <w:snapToGrid w:val="0"/>
        <w:spacing w:line="360" w:lineRule="auto"/>
        <w:ind w:firstLine="567"/>
        <w:rPr>
          <w:rFonts w:hint="eastAsia" w:ascii="宋体" w:hAnsi="宋体" w:eastAsia="宋体" w:cs="宋体"/>
          <w:sz w:val="28"/>
          <w:szCs w:val="28"/>
        </w:rPr>
      </w:pPr>
      <w:r>
        <w:rPr>
          <w:rFonts w:hint="eastAsia" w:ascii="宋体" w:hAnsi="宋体" w:eastAsia="宋体" w:cs="宋体"/>
          <w:sz w:val="28"/>
          <w:szCs w:val="28"/>
        </w:rPr>
        <w:t>1本合同及产权交易中的行为均适用中华人民共和国法律。</w:t>
      </w:r>
    </w:p>
    <w:p>
      <w:pPr>
        <w:wordWrap w:val="0"/>
        <w:adjustRightInd w:val="0"/>
        <w:snapToGrid w:val="0"/>
        <w:spacing w:line="360" w:lineRule="auto"/>
        <w:ind w:firstLine="567"/>
        <w:rPr>
          <w:rFonts w:hint="eastAsia" w:ascii="宋体" w:hAnsi="宋体" w:eastAsia="宋体" w:cs="宋体"/>
          <w:sz w:val="28"/>
          <w:szCs w:val="28"/>
        </w:rPr>
      </w:pPr>
      <w:r>
        <w:rPr>
          <w:rFonts w:hint="eastAsia" w:ascii="宋体" w:hAnsi="宋体" w:eastAsia="宋体" w:cs="宋体"/>
          <w:sz w:val="28"/>
          <w:szCs w:val="28"/>
        </w:rPr>
        <w:t>2</w:t>
      </w:r>
      <w:r>
        <w:rPr>
          <w:rFonts w:hint="eastAsia" w:ascii="宋体" w:hAnsi="宋体" w:eastAsia="宋体" w:cs="宋体"/>
          <w:spacing w:val="-4"/>
          <w:sz w:val="28"/>
          <w:szCs w:val="28"/>
        </w:rPr>
        <w:t>甲、乙双方之间发生争议的，可以协商解决，也可</w:t>
      </w:r>
      <w:r>
        <w:rPr>
          <w:rFonts w:hint="eastAsia" w:ascii="宋体" w:hAnsi="宋体" w:eastAsia="宋体" w:cs="宋体"/>
          <w:sz w:val="28"/>
          <w:szCs w:val="28"/>
        </w:rPr>
        <w:t>申请调解，或选择以下第</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1</w:t>
      </w:r>
      <w:r>
        <w:rPr>
          <w:rFonts w:hint="eastAsia" w:ascii="宋体" w:hAnsi="宋体" w:eastAsia="宋体" w:cs="宋体"/>
          <w:sz w:val="28"/>
          <w:szCs w:val="28"/>
          <w:u w:val="single"/>
        </w:rPr>
        <w:t xml:space="preserve">  </w:t>
      </w:r>
      <w:r>
        <w:rPr>
          <w:rFonts w:hint="eastAsia" w:ascii="宋体" w:hAnsi="宋体" w:eastAsia="宋体" w:cs="宋体"/>
          <w:sz w:val="28"/>
          <w:szCs w:val="28"/>
        </w:rPr>
        <w:t>种方式解决：</w:t>
      </w:r>
    </w:p>
    <w:p>
      <w:pPr>
        <w:wordWrap w:val="0"/>
        <w:adjustRightInd w:val="0"/>
        <w:snapToGrid w:val="0"/>
        <w:spacing w:line="360" w:lineRule="auto"/>
        <w:ind w:firstLine="567"/>
        <w:rPr>
          <w:rFonts w:hint="eastAsia" w:ascii="宋体" w:hAnsi="宋体" w:eastAsia="宋体" w:cs="宋体"/>
          <w:sz w:val="28"/>
          <w:szCs w:val="28"/>
        </w:rPr>
      </w:pPr>
      <w:r>
        <w:rPr>
          <w:rFonts w:hint="eastAsia" w:ascii="宋体" w:hAnsi="宋体" w:eastAsia="宋体" w:cs="宋体"/>
          <w:sz w:val="28"/>
          <w:szCs w:val="28"/>
        </w:rPr>
        <w:t>1．提交</w:t>
      </w:r>
      <w:r>
        <w:rPr>
          <w:rFonts w:hint="eastAsia" w:ascii="宋体" w:hAnsi="宋体" w:eastAsia="宋体" w:cs="宋体"/>
          <w:sz w:val="28"/>
          <w:szCs w:val="28"/>
          <w:lang w:val="en-US" w:eastAsia="zh-CN"/>
        </w:rPr>
        <w:t>余姚市</w:t>
      </w:r>
      <w:r>
        <w:rPr>
          <w:rFonts w:hint="eastAsia" w:ascii="宋体" w:hAnsi="宋体" w:eastAsia="宋体" w:cs="宋体"/>
          <w:sz w:val="28"/>
          <w:szCs w:val="28"/>
        </w:rPr>
        <w:t>仲裁</w:t>
      </w:r>
      <w:r>
        <w:rPr>
          <w:rFonts w:hint="eastAsia" w:ascii="宋体" w:hAnsi="宋体" w:eastAsia="宋体" w:cs="宋体"/>
          <w:sz w:val="28"/>
          <w:szCs w:val="28"/>
          <w:lang w:val="en-US" w:eastAsia="zh-CN"/>
        </w:rPr>
        <w:t>机构仲裁</w:t>
      </w:r>
      <w:r>
        <w:rPr>
          <w:rFonts w:hint="eastAsia" w:ascii="宋体" w:hAnsi="宋体" w:eastAsia="宋体" w:cs="宋体"/>
          <w:sz w:val="28"/>
          <w:szCs w:val="28"/>
        </w:rPr>
        <w:t>。</w:t>
      </w:r>
    </w:p>
    <w:p>
      <w:pPr>
        <w:wordWrap w:val="0"/>
        <w:adjustRightInd w:val="0"/>
        <w:snapToGrid w:val="0"/>
        <w:spacing w:line="360" w:lineRule="auto"/>
        <w:ind w:firstLine="567"/>
        <w:rPr>
          <w:rFonts w:hint="eastAsia" w:ascii="宋体" w:hAnsi="宋体" w:eastAsia="宋体" w:cs="宋体"/>
          <w:sz w:val="28"/>
          <w:szCs w:val="28"/>
        </w:rPr>
      </w:pPr>
      <w:r>
        <w:rPr>
          <w:rFonts w:hint="eastAsia" w:ascii="宋体" w:hAnsi="宋体" w:eastAsia="宋体" w:cs="宋体"/>
          <w:sz w:val="28"/>
          <w:szCs w:val="28"/>
        </w:rPr>
        <w:t>2．依法向</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w:t>
      </w:r>
      <w:r>
        <w:rPr>
          <w:rFonts w:hint="eastAsia" w:ascii="宋体" w:hAnsi="宋体" w:eastAsia="宋体" w:cs="宋体"/>
          <w:sz w:val="28"/>
          <w:szCs w:val="28"/>
          <w:u w:val="single"/>
        </w:rPr>
        <w:t xml:space="preserve">     </w:t>
      </w:r>
      <w:r>
        <w:rPr>
          <w:rFonts w:hint="eastAsia" w:ascii="宋体" w:hAnsi="宋体" w:eastAsia="宋体" w:cs="宋体"/>
          <w:sz w:val="28"/>
          <w:szCs w:val="28"/>
        </w:rPr>
        <w:t>人民法院起诉。</w:t>
      </w:r>
    </w:p>
    <w:p>
      <w:pPr>
        <w:wordWrap w:val="0"/>
        <w:adjustRightInd w:val="0"/>
        <w:snapToGrid w:val="0"/>
        <w:spacing w:line="360" w:lineRule="auto"/>
        <w:rPr>
          <w:rFonts w:hint="eastAsia" w:ascii="宋体" w:hAnsi="宋体" w:eastAsia="宋体" w:cs="宋体"/>
          <w:b w:val="0"/>
          <w:bCs/>
          <w:sz w:val="28"/>
          <w:szCs w:val="28"/>
        </w:rPr>
      </w:pPr>
      <w:r>
        <w:rPr>
          <w:rFonts w:hint="eastAsia" w:ascii="宋体" w:hAnsi="宋体" w:eastAsia="宋体" w:cs="宋体"/>
          <w:b w:val="0"/>
          <w:bCs/>
          <w:sz w:val="28"/>
          <w:szCs w:val="28"/>
        </w:rPr>
        <w:t>十</w:t>
      </w:r>
      <w:r>
        <w:rPr>
          <w:rFonts w:hint="eastAsia" w:ascii="宋体" w:hAnsi="宋体" w:eastAsia="宋体" w:cs="宋体"/>
          <w:b w:val="0"/>
          <w:bCs/>
          <w:sz w:val="28"/>
          <w:szCs w:val="28"/>
          <w:lang w:val="en-US" w:eastAsia="zh-CN"/>
        </w:rPr>
        <w:t>三</w:t>
      </w:r>
      <w:r>
        <w:rPr>
          <w:rFonts w:hint="eastAsia" w:ascii="宋体" w:hAnsi="宋体" w:eastAsia="宋体" w:cs="宋体"/>
          <w:sz w:val="28"/>
          <w:szCs w:val="28"/>
        </w:rPr>
        <w:t>、</w:t>
      </w:r>
      <w:r>
        <w:rPr>
          <w:rFonts w:hint="eastAsia" w:ascii="宋体" w:hAnsi="宋体" w:eastAsia="宋体" w:cs="宋体"/>
          <w:b w:val="0"/>
          <w:bCs/>
          <w:sz w:val="28"/>
          <w:szCs w:val="28"/>
        </w:rPr>
        <w:t xml:space="preserve">  附则</w:t>
      </w:r>
    </w:p>
    <w:p>
      <w:pPr>
        <w:wordWrap w:val="0"/>
        <w:adjustRightInd w:val="0"/>
        <w:snapToGrid w:val="0"/>
        <w:spacing w:line="360" w:lineRule="auto"/>
        <w:ind w:firstLine="567"/>
        <w:rPr>
          <w:rFonts w:hint="eastAsia" w:ascii="宋体" w:hAnsi="宋体" w:eastAsia="宋体" w:cs="宋体"/>
          <w:sz w:val="28"/>
          <w:szCs w:val="28"/>
        </w:rPr>
      </w:pPr>
      <w:r>
        <w:rPr>
          <w:rFonts w:hint="eastAsia" w:ascii="宋体" w:hAnsi="宋体" w:eastAsia="宋体" w:cs="宋体"/>
          <w:sz w:val="28"/>
          <w:szCs w:val="28"/>
        </w:rPr>
        <w:t>1本合同自甲、乙双方签字或盖章之日起生效。</w:t>
      </w:r>
    </w:p>
    <w:p>
      <w:pPr>
        <w:wordWrap w:val="0"/>
        <w:adjustRightInd w:val="0"/>
        <w:snapToGrid w:val="0"/>
        <w:spacing w:line="360" w:lineRule="auto"/>
        <w:ind w:firstLine="567"/>
        <w:rPr>
          <w:rFonts w:hint="eastAsia" w:ascii="宋体" w:hAnsi="宋体" w:eastAsia="宋体" w:cs="宋体"/>
          <w:sz w:val="28"/>
          <w:szCs w:val="28"/>
        </w:rPr>
      </w:pPr>
      <w:r>
        <w:rPr>
          <w:rFonts w:hint="eastAsia" w:ascii="宋体" w:hAnsi="宋体" w:eastAsia="宋体" w:cs="宋体"/>
          <w:sz w:val="28"/>
          <w:szCs w:val="28"/>
        </w:rPr>
        <w:t>2本合同一式</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贰</w:t>
      </w:r>
      <w:r>
        <w:rPr>
          <w:rFonts w:hint="eastAsia" w:ascii="宋体" w:hAnsi="宋体" w:eastAsia="宋体" w:cs="宋体"/>
          <w:sz w:val="28"/>
          <w:szCs w:val="28"/>
          <w:u w:val="single"/>
        </w:rPr>
        <w:t xml:space="preserve">  </w:t>
      </w:r>
      <w:r>
        <w:rPr>
          <w:rFonts w:hint="eastAsia" w:ascii="宋体" w:hAnsi="宋体" w:eastAsia="宋体" w:cs="宋体"/>
          <w:sz w:val="28"/>
          <w:szCs w:val="28"/>
        </w:rPr>
        <w:t>份，甲、乙双方各执</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壹</w:t>
      </w:r>
      <w:r>
        <w:rPr>
          <w:rFonts w:hint="eastAsia" w:ascii="宋体" w:hAnsi="宋体" w:eastAsia="宋体" w:cs="宋体"/>
          <w:sz w:val="28"/>
          <w:szCs w:val="28"/>
          <w:u w:val="single"/>
        </w:rPr>
        <w:t xml:space="preserve">  </w:t>
      </w:r>
      <w:r>
        <w:rPr>
          <w:rFonts w:hint="eastAsia" w:ascii="宋体" w:hAnsi="宋体" w:eastAsia="宋体" w:cs="宋体"/>
          <w:sz w:val="28"/>
          <w:szCs w:val="28"/>
        </w:rPr>
        <w:t>份。</w:t>
      </w:r>
    </w:p>
    <w:p>
      <w:pPr>
        <w:wordWrap w:val="0"/>
        <w:adjustRightInd w:val="0"/>
        <w:snapToGrid w:val="0"/>
        <w:spacing w:after="312" w:line="360" w:lineRule="auto"/>
        <w:ind w:firstLine="567"/>
        <w:rPr>
          <w:rFonts w:hint="eastAsia" w:ascii="宋体" w:hAnsi="宋体" w:eastAsia="宋体" w:cs="宋体"/>
          <w:sz w:val="28"/>
          <w:szCs w:val="28"/>
        </w:rPr>
      </w:pPr>
      <w:r>
        <w:rPr>
          <w:rFonts w:hint="eastAsia" w:ascii="宋体" w:hAnsi="宋体" w:eastAsia="宋体" w:cs="宋体"/>
          <w:sz w:val="28"/>
          <w:szCs w:val="28"/>
        </w:rPr>
        <w:t>（以下无正文，为合同签章页）</w:t>
      </w:r>
    </w:p>
    <w:tbl>
      <w:tblPr>
        <w:tblStyle w:val="5"/>
        <w:tblW w:w="0" w:type="auto"/>
        <w:tblInd w:w="0" w:type="dxa"/>
        <w:tblLayout w:type="autofit"/>
        <w:tblCellMar>
          <w:top w:w="0" w:type="dxa"/>
          <w:left w:w="108" w:type="dxa"/>
          <w:bottom w:w="0" w:type="dxa"/>
          <w:right w:w="108" w:type="dxa"/>
        </w:tblCellMar>
      </w:tblPr>
      <w:tblGrid>
        <w:gridCol w:w="4261"/>
        <w:gridCol w:w="4261"/>
      </w:tblGrid>
      <w:tr>
        <w:tblPrEx>
          <w:tblCellMar>
            <w:top w:w="0" w:type="dxa"/>
            <w:left w:w="108" w:type="dxa"/>
            <w:bottom w:w="0" w:type="dxa"/>
            <w:right w:w="108" w:type="dxa"/>
          </w:tblCellMar>
        </w:tblPrEx>
        <w:trPr>
          <w:trHeight w:val="934" w:hRule="atLeast"/>
        </w:trPr>
        <w:tc>
          <w:tcPr>
            <w:tcW w:w="4261" w:type="dxa"/>
            <w:noWrap w:val="0"/>
            <w:vAlign w:val="top"/>
          </w:tcPr>
          <w:p>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z w:val="28"/>
                <w:szCs w:val="28"/>
                <w:u w:val="single"/>
              </w:rPr>
            </w:pPr>
            <w:r>
              <w:rPr>
                <w:rFonts w:hint="eastAsia" w:ascii="宋体" w:hAnsi="宋体" w:eastAsia="宋体" w:cs="宋体"/>
                <w:sz w:val="28"/>
                <w:szCs w:val="28"/>
              </w:rPr>
              <w:t>甲方（转让方）：</w:t>
            </w:r>
            <w:r>
              <w:rPr>
                <w:rFonts w:hint="eastAsia" w:ascii="宋体" w:hAnsi="宋体" w:eastAsia="宋体" w:cs="宋体"/>
                <w:sz w:val="28"/>
                <w:szCs w:val="28"/>
                <w:u w:val="single"/>
              </w:rPr>
              <w:t xml:space="preserve">          </w:t>
            </w:r>
          </w:p>
          <w:p>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z w:val="28"/>
                <w:szCs w:val="28"/>
              </w:rPr>
            </w:pPr>
            <w:r>
              <w:rPr>
                <w:rFonts w:hint="eastAsia" w:ascii="宋体" w:hAnsi="宋体" w:eastAsia="宋体" w:cs="宋体"/>
                <w:sz w:val="28"/>
                <w:szCs w:val="28"/>
              </w:rPr>
              <w:t>（盖章或签字）</w:t>
            </w:r>
          </w:p>
          <w:p>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法定代表人：</w:t>
            </w:r>
            <w:r>
              <w:rPr>
                <w:rFonts w:hint="eastAsia" w:ascii="宋体" w:hAnsi="宋体" w:eastAsia="宋体" w:cs="宋体"/>
                <w:sz w:val="28"/>
                <w:szCs w:val="28"/>
                <w:u w:val="single"/>
              </w:rPr>
              <w:t xml:space="preserve">                 </w:t>
            </w:r>
          </w:p>
          <w:p>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委托代理人：</w:t>
            </w:r>
            <w:r>
              <w:rPr>
                <w:rFonts w:hint="eastAsia" w:ascii="宋体" w:hAnsi="宋体" w:eastAsia="宋体" w:cs="宋体"/>
                <w:sz w:val="28"/>
                <w:szCs w:val="28"/>
                <w:u w:val="single"/>
              </w:rPr>
              <w:t xml:space="preserve">                 </w:t>
            </w:r>
          </w:p>
        </w:tc>
        <w:tc>
          <w:tcPr>
            <w:tcW w:w="4261" w:type="dxa"/>
            <w:noWrap w:val="0"/>
            <w:vAlign w:val="top"/>
          </w:tcPr>
          <w:p>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z w:val="28"/>
                <w:szCs w:val="28"/>
                <w:u w:val="single"/>
              </w:rPr>
            </w:pPr>
            <w:r>
              <w:rPr>
                <w:rFonts w:hint="eastAsia" w:ascii="宋体" w:hAnsi="宋体" w:eastAsia="宋体" w:cs="宋体"/>
                <w:sz w:val="28"/>
                <w:szCs w:val="28"/>
              </w:rPr>
              <w:t>乙方（受让方）：</w:t>
            </w:r>
            <w:r>
              <w:rPr>
                <w:rFonts w:hint="eastAsia" w:ascii="宋体" w:hAnsi="宋体" w:eastAsia="宋体" w:cs="宋体"/>
                <w:sz w:val="28"/>
                <w:szCs w:val="28"/>
                <w:u w:val="single"/>
              </w:rPr>
              <w:t xml:space="preserve">         </w:t>
            </w:r>
          </w:p>
          <w:p>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z w:val="28"/>
                <w:szCs w:val="28"/>
              </w:rPr>
            </w:pPr>
            <w:r>
              <w:rPr>
                <w:rFonts w:hint="eastAsia" w:ascii="宋体" w:hAnsi="宋体" w:eastAsia="宋体" w:cs="宋体"/>
                <w:sz w:val="28"/>
                <w:szCs w:val="28"/>
              </w:rPr>
              <w:t>（盖章）</w:t>
            </w:r>
          </w:p>
          <w:p>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法定代表人：</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p>
          <w:p>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委托代理人：</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p>
        </w:tc>
      </w:tr>
      <w:tr>
        <w:tblPrEx>
          <w:tblCellMar>
            <w:top w:w="0" w:type="dxa"/>
            <w:left w:w="108" w:type="dxa"/>
            <w:bottom w:w="0" w:type="dxa"/>
            <w:right w:w="108" w:type="dxa"/>
          </w:tblCellMar>
        </w:tblPrEx>
        <w:tc>
          <w:tcPr>
            <w:tcW w:w="4261" w:type="dxa"/>
            <w:noWrap w:val="0"/>
            <w:vAlign w:val="top"/>
          </w:tcPr>
          <w:p>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z w:val="28"/>
                <w:szCs w:val="28"/>
                <w:u w:val="single"/>
              </w:rPr>
            </w:pPr>
            <w:r>
              <w:rPr>
                <w:rFonts w:hint="eastAsia" w:ascii="宋体" w:hAnsi="宋体" w:eastAsia="宋体" w:cs="宋体"/>
                <w:sz w:val="28"/>
                <w:szCs w:val="28"/>
                <w:lang w:val="en-US" w:eastAsia="zh-CN"/>
              </w:rPr>
              <w:t>地</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址</w:t>
            </w:r>
            <w:r>
              <w:rPr>
                <w:rFonts w:hint="eastAsia" w:ascii="宋体" w:hAnsi="宋体" w:eastAsia="宋体" w:cs="宋体"/>
                <w:sz w:val="28"/>
                <w:szCs w:val="28"/>
              </w:rPr>
              <w:t>：</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p>
        </w:tc>
        <w:tc>
          <w:tcPr>
            <w:tcW w:w="4261" w:type="dxa"/>
            <w:noWrap w:val="0"/>
            <w:vAlign w:val="top"/>
          </w:tcPr>
          <w:p>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z w:val="28"/>
                <w:szCs w:val="28"/>
              </w:rPr>
            </w:pPr>
            <w:r>
              <w:rPr>
                <w:rFonts w:hint="eastAsia" w:ascii="宋体" w:hAnsi="宋体" w:eastAsia="宋体" w:cs="宋体"/>
                <w:sz w:val="28"/>
                <w:szCs w:val="28"/>
                <w:lang w:val="en-US" w:eastAsia="zh-CN"/>
              </w:rPr>
              <w:t>地</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址</w:t>
            </w:r>
            <w:r>
              <w:rPr>
                <w:rFonts w:hint="eastAsia" w:ascii="宋体" w:hAnsi="宋体" w:eastAsia="宋体" w:cs="宋体"/>
                <w:sz w:val="28"/>
                <w:szCs w:val="28"/>
              </w:rPr>
              <w:t>：</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p>
        </w:tc>
      </w:tr>
      <w:tr>
        <w:tblPrEx>
          <w:tblCellMar>
            <w:top w:w="0" w:type="dxa"/>
            <w:left w:w="108" w:type="dxa"/>
            <w:bottom w:w="0" w:type="dxa"/>
            <w:right w:w="108" w:type="dxa"/>
          </w:tblCellMar>
        </w:tblPrEx>
        <w:tc>
          <w:tcPr>
            <w:tcW w:w="4261" w:type="dxa"/>
            <w:noWrap w:val="0"/>
            <w:vAlign w:val="top"/>
          </w:tcPr>
          <w:p>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z w:val="28"/>
                <w:szCs w:val="28"/>
              </w:rPr>
            </w:pPr>
          </w:p>
        </w:tc>
        <w:tc>
          <w:tcPr>
            <w:tcW w:w="4261" w:type="dxa"/>
            <w:noWrap w:val="0"/>
            <w:vAlign w:val="top"/>
          </w:tcPr>
          <w:p>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z w:val="28"/>
                <w:szCs w:val="28"/>
              </w:rPr>
            </w:pPr>
          </w:p>
        </w:tc>
      </w:tr>
      <w:tr>
        <w:tblPrEx>
          <w:tblCellMar>
            <w:top w:w="0" w:type="dxa"/>
            <w:left w:w="108" w:type="dxa"/>
            <w:bottom w:w="0" w:type="dxa"/>
            <w:right w:w="108" w:type="dxa"/>
          </w:tblCellMar>
        </w:tblPrEx>
        <w:tc>
          <w:tcPr>
            <w:tcW w:w="4261" w:type="dxa"/>
            <w:noWrap w:val="0"/>
            <w:vAlign w:val="top"/>
          </w:tcPr>
          <w:p>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z w:val="28"/>
                <w:szCs w:val="28"/>
                <w:u w:val="single"/>
              </w:rPr>
            </w:pPr>
            <w:r>
              <w:rPr>
                <w:rFonts w:hint="eastAsia" w:ascii="宋体" w:hAnsi="宋体" w:eastAsia="宋体" w:cs="宋体"/>
                <w:sz w:val="28"/>
                <w:szCs w:val="28"/>
              </w:rPr>
              <w:t>电    话：</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p>
          <w:p>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z w:val="28"/>
                <w:szCs w:val="28"/>
                <w:u w:val="single"/>
                <w:lang w:val="en-US" w:eastAsia="zh-CN"/>
              </w:rPr>
            </w:pPr>
            <w:r>
              <w:rPr>
                <w:rFonts w:hint="eastAsia" w:ascii="宋体" w:hAnsi="宋体" w:eastAsia="宋体" w:cs="宋体"/>
                <w:b w:val="0"/>
                <w:bCs w:val="0"/>
                <w:color w:val="auto"/>
                <w:sz w:val="28"/>
                <w:szCs w:val="28"/>
                <w:u w:val="none"/>
                <w:lang w:val="en-US" w:eastAsia="zh-CN"/>
              </w:rPr>
              <w:t>邮政编码：</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p>
        </w:tc>
        <w:tc>
          <w:tcPr>
            <w:tcW w:w="4261" w:type="dxa"/>
            <w:noWrap w:val="0"/>
            <w:vAlign w:val="top"/>
          </w:tcPr>
          <w:p>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z w:val="28"/>
                <w:szCs w:val="28"/>
                <w:u w:val="single"/>
              </w:rPr>
            </w:pPr>
            <w:r>
              <w:rPr>
                <w:rFonts w:hint="eastAsia" w:ascii="宋体" w:hAnsi="宋体" w:eastAsia="宋体" w:cs="宋体"/>
                <w:sz w:val="28"/>
                <w:szCs w:val="28"/>
              </w:rPr>
              <w:t>电    话：</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p>
          <w:p>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z w:val="28"/>
                <w:szCs w:val="28"/>
                <w:u w:val="single"/>
                <w:lang w:val="en-US" w:eastAsia="zh-CN"/>
              </w:rPr>
            </w:pPr>
            <w:r>
              <w:rPr>
                <w:rFonts w:hint="eastAsia" w:ascii="宋体" w:hAnsi="宋体" w:eastAsia="宋体" w:cs="宋体"/>
                <w:sz w:val="28"/>
                <w:szCs w:val="28"/>
                <w:u w:val="none"/>
                <w:lang w:val="en-US" w:eastAsia="zh-CN"/>
              </w:rPr>
              <w:t>邮政编码：</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p>
        </w:tc>
      </w:tr>
      <w:tr>
        <w:tblPrEx>
          <w:tblCellMar>
            <w:top w:w="0" w:type="dxa"/>
            <w:left w:w="108" w:type="dxa"/>
            <w:bottom w:w="0" w:type="dxa"/>
            <w:right w:w="108" w:type="dxa"/>
          </w:tblCellMar>
        </w:tblPrEx>
        <w:tc>
          <w:tcPr>
            <w:tcW w:w="4261" w:type="dxa"/>
            <w:noWrap w:val="0"/>
            <w:vAlign w:val="top"/>
          </w:tcPr>
          <w:p>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z w:val="28"/>
                <w:szCs w:val="28"/>
              </w:rPr>
            </w:pPr>
          </w:p>
        </w:tc>
        <w:tc>
          <w:tcPr>
            <w:tcW w:w="4261" w:type="dxa"/>
            <w:noWrap w:val="0"/>
            <w:vAlign w:val="top"/>
          </w:tcPr>
          <w:p>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z w:val="28"/>
                <w:szCs w:val="28"/>
              </w:rPr>
            </w:pPr>
          </w:p>
        </w:tc>
      </w:tr>
      <w:tr>
        <w:tblPrEx>
          <w:tblCellMar>
            <w:top w:w="0" w:type="dxa"/>
            <w:left w:w="108" w:type="dxa"/>
            <w:bottom w:w="0" w:type="dxa"/>
            <w:right w:w="108" w:type="dxa"/>
          </w:tblCellMar>
        </w:tblPrEx>
        <w:tc>
          <w:tcPr>
            <w:tcW w:w="4261" w:type="dxa"/>
            <w:noWrap w:val="0"/>
            <w:vAlign w:val="top"/>
          </w:tcPr>
          <w:p>
            <w:pPr>
              <w:keepNext w:val="0"/>
              <w:keepLines w:val="0"/>
              <w:suppressLineNumbers w:val="0"/>
              <w:wordWrap w:val="0"/>
              <w:adjustRightInd w:val="0"/>
              <w:snapToGrid w:val="0"/>
              <w:spacing w:before="0" w:beforeAutospacing="0" w:after="0" w:afterAutospacing="0" w:line="360" w:lineRule="auto"/>
              <w:ind w:left="1200" w:right="0" w:hanging="1400" w:hangingChars="500"/>
              <w:rPr>
                <w:rFonts w:hint="eastAsia" w:ascii="宋体" w:hAnsi="宋体" w:eastAsia="宋体" w:cs="宋体"/>
                <w:sz w:val="28"/>
                <w:szCs w:val="28"/>
                <w:lang w:val="en-US" w:eastAsia="zh-CN"/>
              </w:rPr>
            </w:pPr>
            <w:r>
              <w:rPr>
                <w:rFonts w:hint="eastAsia" w:ascii="宋体" w:hAnsi="宋体" w:eastAsia="宋体" w:cs="宋体"/>
                <w:sz w:val="28"/>
                <w:szCs w:val="28"/>
              </w:rPr>
              <w:t>开户银行账号：</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p>
        </w:tc>
        <w:tc>
          <w:tcPr>
            <w:tcW w:w="4261" w:type="dxa"/>
            <w:noWrap w:val="0"/>
            <w:vAlign w:val="top"/>
          </w:tcPr>
          <w:p>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z w:val="28"/>
                <w:szCs w:val="28"/>
              </w:rPr>
            </w:pPr>
            <w:r>
              <w:rPr>
                <w:rFonts w:hint="eastAsia" w:ascii="宋体" w:hAnsi="宋体" w:eastAsia="宋体" w:cs="宋体"/>
                <w:sz w:val="28"/>
                <w:szCs w:val="28"/>
              </w:rPr>
              <w:t>开户银行账号：</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p>
        </w:tc>
      </w:tr>
      <w:tr>
        <w:tblPrEx>
          <w:tblCellMar>
            <w:top w:w="0" w:type="dxa"/>
            <w:left w:w="108" w:type="dxa"/>
            <w:bottom w:w="0" w:type="dxa"/>
            <w:right w:w="108" w:type="dxa"/>
          </w:tblCellMar>
        </w:tblPrEx>
        <w:tc>
          <w:tcPr>
            <w:tcW w:w="8522" w:type="dxa"/>
            <w:gridSpan w:val="2"/>
            <w:noWrap w:val="0"/>
            <w:vAlign w:val="top"/>
          </w:tcPr>
          <w:p>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z w:val="28"/>
                <w:szCs w:val="28"/>
              </w:rPr>
            </w:pPr>
          </w:p>
          <w:p>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z w:val="28"/>
                <w:szCs w:val="28"/>
                <w:u w:val="single"/>
              </w:rPr>
            </w:pPr>
            <w:r>
              <w:rPr>
                <w:rFonts w:hint="eastAsia" w:ascii="宋体" w:hAnsi="宋体" w:eastAsia="宋体" w:cs="宋体"/>
                <w:sz w:val="28"/>
                <w:szCs w:val="28"/>
              </w:rPr>
              <w:t>签约地点：</w:t>
            </w:r>
            <w:r>
              <w:rPr>
                <w:rFonts w:hint="eastAsia" w:ascii="宋体" w:hAnsi="宋体" w:eastAsia="宋体" w:cs="宋体"/>
                <w:sz w:val="28"/>
                <w:szCs w:val="28"/>
                <w:u w:val="single"/>
              </w:rPr>
              <w:t xml:space="preserve">                      </w:t>
            </w:r>
          </w:p>
          <w:p>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z w:val="28"/>
                <w:szCs w:val="28"/>
              </w:rPr>
            </w:pPr>
          </w:p>
        </w:tc>
      </w:tr>
      <w:tr>
        <w:tblPrEx>
          <w:tblCellMar>
            <w:top w:w="0" w:type="dxa"/>
            <w:left w:w="108" w:type="dxa"/>
            <w:bottom w:w="0" w:type="dxa"/>
            <w:right w:w="108" w:type="dxa"/>
          </w:tblCellMar>
        </w:tblPrEx>
        <w:trPr>
          <w:trHeight w:val="117" w:hRule="atLeast"/>
        </w:trPr>
        <w:tc>
          <w:tcPr>
            <w:tcW w:w="8522" w:type="dxa"/>
            <w:gridSpan w:val="2"/>
            <w:noWrap w:val="0"/>
            <w:vAlign w:val="top"/>
          </w:tcPr>
          <w:p>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z w:val="28"/>
                <w:szCs w:val="28"/>
              </w:rPr>
            </w:pPr>
          </w:p>
          <w:p>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z w:val="28"/>
                <w:szCs w:val="28"/>
              </w:rPr>
            </w:pPr>
            <w:r>
              <w:rPr>
                <w:rFonts w:hint="eastAsia" w:ascii="宋体" w:hAnsi="宋体" w:eastAsia="宋体" w:cs="宋体"/>
                <w:sz w:val="28"/>
                <w:szCs w:val="28"/>
              </w:rPr>
              <w:t>签约日期：</w:t>
            </w:r>
            <w:r>
              <w:rPr>
                <w:rFonts w:hint="eastAsia" w:ascii="宋体" w:hAnsi="宋体" w:eastAsia="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p>
          <w:p>
            <w:pPr>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z w:val="28"/>
                <w:szCs w:val="28"/>
              </w:rPr>
            </w:pPr>
          </w:p>
        </w:tc>
      </w:tr>
    </w:tbl>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F8DF91"/>
    <w:multiLevelType w:val="singleLevel"/>
    <w:tmpl w:val="96F8DF91"/>
    <w:lvl w:ilvl="0" w:tentative="0">
      <w:start w:val="1"/>
      <w:numFmt w:val="decimal"/>
      <w:lvlText w:val="%1."/>
      <w:lvlJc w:val="left"/>
      <w:pPr>
        <w:tabs>
          <w:tab w:val="left" w:pos="312"/>
        </w:tabs>
        <w:ind w:left="150" w:firstLine="0"/>
      </w:pPr>
    </w:lvl>
  </w:abstractNum>
  <w:abstractNum w:abstractNumId="1">
    <w:nsid w:val="73B46ACF"/>
    <w:multiLevelType w:val="singleLevel"/>
    <w:tmpl w:val="73B46ACF"/>
    <w:lvl w:ilvl="0" w:tentative="0">
      <w:start w:val="8"/>
      <w:numFmt w:val="chineseCounting"/>
      <w:suff w:val="space"/>
      <w:lvlText w:val="第%1条"/>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FiOTUxYmNiZjY5M2Q5NWUxYmUwODc4M2RiNTcyYjAifQ=="/>
  </w:docVars>
  <w:rsids>
    <w:rsidRoot w:val="1E7676F8"/>
    <w:rsid w:val="1E7676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4"/>
    <w:qFormat/>
    <w:uiPriority w:val="0"/>
    <w:pPr>
      <w:spacing w:after="120"/>
      <w:ind w:firstLine="100" w:firstLineChars="100"/>
    </w:pPr>
    <w:rPr>
      <w:sz w:val="28"/>
    </w:rPr>
  </w:style>
  <w:style w:type="paragraph" w:styleId="3">
    <w:name w:val="Body Text"/>
    <w:basedOn w:val="1"/>
    <w:next w:val="2"/>
    <w:qFormat/>
    <w:uiPriority w:val="0"/>
    <w:pPr>
      <w:spacing w:after="120"/>
    </w:pPr>
  </w:style>
  <w:style w:type="paragraph" w:styleId="4">
    <w:name w:val="toc 6"/>
    <w:basedOn w:val="1"/>
    <w:next w:val="1"/>
    <w:qFormat/>
    <w:uiPriority w:val="0"/>
    <w:pPr>
      <w:ind w:left="1000" w:leftChars="10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2023-07-13T05:51:00Z</dcterms:created>
  <dc:creator>WPS_1504238738</dc:creator>
  <cp:lastModifiedBy>WPS_1504238738</cp:lastModifiedBy>
  <dcterms:modified xsi:type="dcterms:W3CDTF">2023-07-13T05:51:36Z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82C25C103BDF4FBAA66221C8E80F9D6E_11</vt:lpwstr>
  </property>
</Properties>
</file>