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2650" w:firstLineChars="600"/>
        <w:jc w:val="both"/>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r>
        <w:rPr>
          <w:rFonts w:hint="eastAsia" w:ascii="宋体" w:hAnsi="宋体"/>
          <w:b/>
          <w:sz w:val="28"/>
          <w:szCs w:val="28"/>
        </w:rPr>
        <w:t>拍卖标的</w:t>
      </w:r>
    </w:p>
    <w:p>
      <w:pPr>
        <w:keepNext w:val="0"/>
        <w:keepLines w:val="0"/>
        <w:pageBreakBefore w:val="0"/>
        <w:kinsoku/>
        <w:wordWrap/>
        <w:overflowPunct/>
        <w:topLinePunct w:val="0"/>
        <w:autoSpaceDE w:val="0"/>
        <w:autoSpaceDN w:val="0"/>
        <w:bidi w:val="0"/>
        <w:adjustRightInd w:val="0"/>
        <w:snapToGrid/>
        <w:spacing w:line="396" w:lineRule="auto"/>
        <w:ind w:firstLine="482" w:firstLineChars="200"/>
        <w:jc w:val="left"/>
        <w:textAlignment w:val="auto"/>
        <w:rPr>
          <w:rFonts w:hint="eastAsia" w:ascii="宋体" w:hAnsi="宋体" w:eastAsia="宋体" w:cs="宋体"/>
          <w:b/>
          <w:bCs/>
          <w:kern w:val="0"/>
          <w:sz w:val="24"/>
        </w:rPr>
      </w:pPr>
      <w:r>
        <w:rPr>
          <w:rFonts w:hint="eastAsia" w:ascii="宋体" w:hAnsi="宋体" w:eastAsia="宋体" w:cs="宋体"/>
          <w:b/>
          <w:bCs/>
          <w:kern w:val="0"/>
          <w:sz w:val="24"/>
          <w:lang w:eastAsia="zh-CN"/>
        </w:rPr>
        <w:t>第四条</w:t>
      </w:r>
      <w:r>
        <w:rPr>
          <w:rFonts w:hint="eastAsia" w:ascii="宋体" w:hAnsi="宋体" w:eastAsia="宋体" w:cs="宋体"/>
          <w:b/>
          <w:bCs/>
          <w:kern w:val="0"/>
          <w:sz w:val="24"/>
          <w:lang w:val="en-US" w:eastAsia="zh-CN"/>
        </w:rPr>
        <w:t xml:space="preserve">  </w:t>
      </w:r>
      <w:r>
        <w:rPr>
          <w:rFonts w:hint="eastAsia" w:ascii="宋体" w:hAnsi="宋体" w:eastAsia="宋体" w:cs="宋体"/>
          <w:b/>
          <w:bCs/>
          <w:kern w:val="0"/>
          <w:sz w:val="24"/>
        </w:rPr>
        <w:t>拍卖标的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sz w:val="24"/>
          <w:szCs w:val="24"/>
          <w:u w:val="none"/>
          <w:lang w:val="en-US" w:eastAsia="zh-CN"/>
        </w:rPr>
      </w:pPr>
      <w:r>
        <w:rPr>
          <w:rFonts w:hint="eastAsia" w:ascii="宋体" w:hAnsi="宋体" w:eastAsia="宋体" w:cs="Times New Roman"/>
          <w:bCs/>
          <w:color w:val="000000"/>
          <w:kern w:val="0"/>
          <w:sz w:val="24"/>
          <w:szCs w:val="24"/>
        </w:rPr>
        <w:t>位于</w:t>
      </w:r>
      <w:r>
        <w:rPr>
          <w:rFonts w:ascii="宋体" w:hAnsi="宋体" w:eastAsia="宋体" w:cs="宋体"/>
          <w:b w:val="0"/>
          <w:bCs/>
          <w:i w:val="0"/>
          <w:iCs w:val="0"/>
          <w:caps w:val="0"/>
          <w:color w:val="000000"/>
          <w:spacing w:val="0"/>
          <w:sz w:val="24"/>
          <w:szCs w:val="24"/>
          <w:u w:val="none"/>
          <w:shd w:val="clear" w:color="auto" w:fill="FFFFFF"/>
        </w:rPr>
        <w:t>余姚市</w:t>
      </w:r>
      <w:r>
        <w:rPr>
          <w:rFonts w:hint="eastAsia" w:ascii="宋体" w:hAnsi="宋体" w:eastAsia="宋体" w:cs="宋体"/>
          <w:b w:val="0"/>
          <w:bCs/>
          <w:i w:val="0"/>
          <w:iCs w:val="0"/>
          <w:caps w:val="0"/>
          <w:color w:val="000000"/>
          <w:spacing w:val="0"/>
          <w:sz w:val="24"/>
          <w:szCs w:val="24"/>
          <w:u w:val="none"/>
          <w:shd w:val="clear" w:color="auto" w:fill="FFFFFF"/>
          <w:lang w:eastAsia="zh-CN"/>
        </w:rPr>
        <w:t>城区永丰北苑、五星佳苑店面</w:t>
      </w:r>
      <w:r>
        <w:rPr>
          <w:rFonts w:hint="eastAsia" w:ascii="宋体" w:hAnsi="宋体" w:eastAsia="宋体" w:cs="宋体"/>
          <w:b w:val="0"/>
          <w:bCs/>
          <w:i w:val="0"/>
          <w:iCs w:val="0"/>
          <w:caps w:val="0"/>
          <w:color w:val="000000"/>
          <w:spacing w:val="0"/>
          <w:sz w:val="24"/>
          <w:szCs w:val="24"/>
          <w:u w:val="none"/>
          <w:shd w:val="clear" w:color="auto" w:fill="FFFFFF"/>
          <w:lang w:val="en-US" w:eastAsia="zh-CN"/>
        </w:rPr>
        <w:t>13个标的（以幢为单位）</w:t>
      </w:r>
      <w:r>
        <w:rPr>
          <w:rFonts w:hint="eastAsia" w:ascii="宋体" w:hAnsi="宋体" w:eastAsia="宋体" w:cs="宋体"/>
          <w:b w:val="0"/>
          <w:bCs/>
          <w:i w:val="0"/>
          <w:iCs w:val="0"/>
          <w:caps w:val="0"/>
          <w:color w:val="000000"/>
          <w:spacing w:val="0"/>
          <w:sz w:val="24"/>
          <w:szCs w:val="24"/>
          <w:u w:val="none"/>
          <w:shd w:val="clear" w:color="auto" w:fill="FFFFFF"/>
          <w:lang w:eastAsia="zh-CN"/>
        </w:rPr>
        <w:t>两</w:t>
      </w:r>
      <w:r>
        <w:rPr>
          <w:rFonts w:hint="eastAsia" w:ascii="宋体" w:hAnsi="宋体" w:eastAsia="宋体" w:cs="Times New Roman"/>
          <w:b w:val="0"/>
          <w:bCs/>
          <w:sz w:val="24"/>
          <w:szCs w:val="24"/>
          <w:u w:val="none"/>
        </w:rPr>
        <w:t>年租赁权</w:t>
      </w:r>
      <w:r>
        <w:rPr>
          <w:rFonts w:hint="eastAsia" w:ascii="宋体" w:hAnsi="宋体" w:eastAsia="宋体" w:cs="Times New Roman"/>
          <w:b w:val="0"/>
          <w:bCs/>
          <w:sz w:val="24"/>
          <w:szCs w:val="24"/>
          <w:u w:val="none"/>
          <w:lang w:eastAsia="zh-CN"/>
        </w:rPr>
        <w:t>（详见附后拍卖清单）</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bCs/>
          <w:kern w:val="0"/>
          <w:sz w:val="24"/>
        </w:rPr>
      </w:pPr>
      <w:r>
        <w:rPr>
          <w:rFonts w:hint="eastAsia" w:ascii="宋体" w:hAnsi="宋体" w:eastAsia="宋体" w:cs="宋体"/>
          <w:kern w:val="0"/>
          <w:sz w:val="24"/>
          <w:lang w:eastAsia="zh-CN"/>
        </w:rPr>
        <w:t>★</w:t>
      </w:r>
      <w:r>
        <w:rPr>
          <w:rFonts w:hint="eastAsia" w:ascii="宋体" w:hAnsi="宋体" w:eastAsia="宋体" w:cs="宋体"/>
          <w:b/>
          <w:bCs/>
          <w:kern w:val="0"/>
          <w:sz w:val="24"/>
          <w:lang w:eastAsia="zh-CN"/>
        </w:rPr>
        <w:t>竞买人条件：具有完全民事行为能力的自然人、法人或其他组织均可报名参加。</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color w:val="000000"/>
          <w:sz w:val="24"/>
          <w:szCs w:val="24"/>
          <w:lang w:eastAsia="zh-CN"/>
        </w:rPr>
      </w:pPr>
      <w:r>
        <w:rPr>
          <w:rFonts w:hint="eastAsia" w:ascii="宋体" w:hAnsi="宋体" w:cs="宋体"/>
          <w:kern w:val="0"/>
          <w:sz w:val="24"/>
        </w:rPr>
        <w:t>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tabs>
          <w:tab w:val="left" w:pos="5040"/>
          <w:tab w:val="left" w:pos="6480"/>
        </w:tabs>
        <w:snapToGrid w:val="0"/>
        <w:spacing w:line="576" w:lineRule="exact"/>
        <w:ind w:firstLine="482" w:firstLineChars="200"/>
        <w:jc w:val="left"/>
        <w:rPr>
          <w:rFonts w:hint="eastAsia" w:ascii="宋体" w:hAnsi="宋体" w:cs="宋体"/>
          <w:b/>
          <w:kern w:val="0"/>
          <w:sz w:val="24"/>
        </w:rPr>
      </w:pPr>
      <w:r>
        <w:rPr>
          <w:rFonts w:hint="eastAsia" w:ascii="宋体" w:hAnsi="宋体" w:cs="宋体"/>
          <w:b/>
          <w:kern w:val="0"/>
          <w:sz w:val="24"/>
        </w:rPr>
        <w:t>第五条  标的物特别说明</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1、本次拍卖会为房产租赁权拍卖，按现状进行租赁；标的有产权证，租赁的房屋用途为商业用房，建筑面积及土地使用权面积仅供参考，具体以现状实样为准，建筑面积的差异不影响本次租赁成交价。</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本次房产租赁使用应符合当地所属规划、公安、卫生、消防、城管等部门的限制和要求，租金一年一付，先付后用；并应按期缴清房屋租金，否则作为违约处理。若买受人不及时交纳，逾期1个月的，委托人有权提前解除合同，收回标的物，且已收取的租金不予退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3、委托人同意给予买受人2个月装修免租期（即从房屋实际交付之次日起      计算），装修免租期不计入租赁期间。</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买受人需额外支付履约保证金为三个月租金，店面出租协议终止或解除时，除用以抵扣合同约定应由买受人承担的费用（水、电费、违约金及赔偿金等）外，剩余部分由委托人归还(按交款当日的银行同期活期存款利率计息退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5、买受人可按照房屋改造装修有关规定，在符合工程、消防等安全要求的前提下对租赁标的进行内部分隔改造，并全权负责设计、施工及相关费用，施工设计方案需征得委托人同意，并通过消防等相关部门验收。</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6、买受人对租赁房屋进行装修或改善增设设施时，须事先征得市级有关部门同意，并按有关规定组织施工；同时，买受人在装修和安装过程中，要确保安全，且不得妨碍其他经营户的正常经营活动。若对其他经营户经营造成影响的由买受人自行出面协调，涉及费用的，买受人自行承担。</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7、买受人在装修前，对所承租房屋水、电、气需自行开户，在装修及使用过程中所发生的水、电等费用由买受人承担。</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8、消防设计消防部门审验后，若需重新添置和安装设施设备施工及费用由买受人负担。消防设计必须通过消防部门的验收。</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9、租赁期内，因买受人及房屋实际承租人原因造成房屋及其附属设施损坏或故障的，买受人应及时修复，费用由买受人或房屋实际承租人承担。</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10、竞买人、买受人在参拍前已认可附后《店面出租协议》的具体条款，买受人付清全部款项后与委托人签订房屋租赁合同。</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11、房屋租赁合同期满，委托人若有意继续出租该房屋，提前通知买受人；同等条件下，买受人享有优先承租权。</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12、拍卖成交后拍卖人只出具拍卖佣金发票，其他相关票据由委托人提供。</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13、标的权利瑕疵以委托人提供的有关权证文书为准，对标的其他未发现的瑕疵本公司不能保证。</w:t>
      </w:r>
    </w:p>
    <w:p>
      <w:pPr>
        <w:tabs>
          <w:tab w:val="left" w:pos="5040"/>
          <w:tab w:val="left" w:pos="6480"/>
        </w:tabs>
        <w:snapToGrid w:val="0"/>
        <w:spacing w:line="576" w:lineRule="exact"/>
        <w:ind w:firstLine="175" w:firstLineChars="58"/>
        <w:jc w:val="center"/>
        <w:rPr>
          <w:rFonts w:hint="eastAsia" w:ascii="宋体" w:hAnsi="宋体" w:cs="宋体"/>
          <w:b/>
          <w:bCs/>
          <w:kern w:val="0"/>
          <w:sz w:val="30"/>
          <w:szCs w:val="30"/>
        </w:rPr>
      </w:pPr>
      <w:r>
        <w:rPr>
          <w:rFonts w:hint="eastAsia" w:ascii="宋体" w:hAnsi="宋体" w:cs="宋体"/>
          <w:b/>
          <w:bCs/>
          <w:kern w:val="0"/>
          <w:sz w:val="30"/>
          <w:szCs w:val="30"/>
        </w:rPr>
        <w:t>拍卖前期活动</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第六条</w:t>
      </w:r>
      <w:r>
        <w:rPr>
          <w:rFonts w:hint="eastAsia" w:ascii="宋体" w:hAnsi="宋体" w:cs="宋体"/>
          <w:kern w:val="0"/>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若拍卖文件需要修正或补充的，拍卖人可以在举行拍卖会之前书面告知竞买人。竞买人一经参拍或应价的，均视为已接受此修正或补充。</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第七条</w:t>
      </w:r>
      <w:r>
        <w:rPr>
          <w:rFonts w:hint="eastAsia" w:ascii="宋体" w:hAnsi="宋体" w:cs="宋体"/>
          <w:kern w:val="0"/>
          <w:sz w:val="24"/>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网络拍卖</w:t>
      </w:r>
    </w:p>
    <w:p>
      <w:pPr>
        <w:tabs>
          <w:tab w:val="left" w:pos="5040"/>
          <w:tab w:val="left" w:pos="6480"/>
        </w:tabs>
        <w:snapToGrid w:val="0"/>
        <w:spacing w:line="576" w:lineRule="exact"/>
        <w:jc w:val="left"/>
        <w:rPr>
          <w:rFonts w:hint="eastAsia" w:ascii="宋体" w:hAnsi="宋体"/>
          <w:sz w:val="24"/>
        </w:rPr>
      </w:pPr>
      <w:r>
        <w:rPr>
          <w:rFonts w:hint="eastAsia" w:ascii="宋体" w:hAnsi="宋体" w:cs="宋体"/>
          <w:b/>
          <w:bCs/>
          <w:kern w:val="0"/>
          <w:sz w:val="30"/>
          <w:szCs w:val="30"/>
          <w:lang w:val="en-US" w:eastAsia="zh-CN"/>
        </w:rPr>
        <w:t xml:space="preserve">   </w:t>
      </w:r>
      <w:r>
        <w:rPr>
          <w:rFonts w:hint="eastAsia" w:ascii="宋体" w:hAnsi="宋体" w:cs="宋体"/>
          <w:b/>
          <w:bCs/>
          <w:kern w:val="0"/>
          <w:sz w:val="24"/>
        </w:rPr>
        <w:t>第八条</w:t>
      </w:r>
      <w:r>
        <w:rPr>
          <w:rFonts w:hint="eastAsia" w:ascii="宋体" w:hAnsi="宋体" w:cs="宋体"/>
          <w:kern w:val="0"/>
          <w:sz w:val="24"/>
        </w:rPr>
        <w:t xml:space="preserve">  </w:t>
      </w:r>
      <w:r>
        <w:rPr>
          <w:rFonts w:hint="eastAsia" w:ascii="宋体" w:hAnsi="宋体"/>
          <w:sz w:val="24"/>
        </w:rPr>
        <w:t>本次拍卖标的经过规定的报刊、网络发布公告，并经实地展示，在“</w:t>
      </w:r>
      <w:r>
        <w:rPr>
          <w:rFonts w:hint="eastAsia" w:ascii="宋体" w:hAnsi="宋体"/>
          <w:bCs/>
          <w:color w:val="000000"/>
          <w:kern w:val="0"/>
          <w:sz w:val="24"/>
        </w:rPr>
        <w:t>中国拍卖行业协会网络拍卖平台</w:t>
      </w:r>
      <w:r>
        <w:rPr>
          <w:rFonts w:hint="eastAsia" w:ascii="宋体" w:hAnsi="宋体"/>
          <w:sz w:val="24"/>
        </w:rPr>
        <w:t>”进行公开拍卖。拍卖计价货币为人民币，拍卖时的起拍价、成交价均为裸价，不包含任何税、费及买受佣金。</w:t>
      </w:r>
    </w:p>
    <w:p>
      <w:pPr>
        <w:spacing w:line="576" w:lineRule="exact"/>
        <w:ind w:firstLine="482" w:firstLineChars="200"/>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spacing w:line="576" w:lineRule="exact"/>
        <w:ind w:firstLine="480" w:firstLineChars="200"/>
        <w:rPr>
          <w:rFonts w:hint="eastAsia" w:ascii="宋体" w:hAnsi="宋体" w:cs="宋体"/>
          <w:sz w:val="24"/>
        </w:rPr>
      </w:pPr>
      <w:r>
        <w:rPr>
          <w:rFonts w:hint="eastAsia" w:ascii="宋体" w:hAnsi="宋体" w:cs="宋体"/>
          <w:sz w:val="24"/>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widowControl/>
        <w:snapToGrid w:val="0"/>
        <w:spacing w:line="576" w:lineRule="exact"/>
        <w:ind w:firstLine="482"/>
        <w:jc w:val="left"/>
        <w:rPr>
          <w:rFonts w:hint="eastAsia" w:ascii="宋体" w:hAnsi="宋体"/>
          <w:sz w:val="24"/>
        </w:rPr>
      </w:pPr>
      <w:r>
        <w:rPr>
          <w:rFonts w:hint="eastAsia" w:ascii="宋体" w:hAnsi="宋体" w:cs="宋体"/>
          <w:b/>
          <w:kern w:val="0"/>
          <w:sz w:val="24"/>
        </w:rPr>
        <w:t>第九条</w:t>
      </w:r>
      <w:r>
        <w:rPr>
          <w:rFonts w:hint="eastAsia" w:ascii="宋体" w:hAnsi="宋体"/>
          <w:sz w:val="24"/>
        </w:rPr>
        <w:t xml:space="preserve">  买受人须在成交当日（截止下午5时）到拍卖人处签署《拍卖成交确认书》等拍卖文件。上述文件不论买受人是否签署，其全部条款即对买受人产生约束力并生效。</w:t>
      </w:r>
    </w:p>
    <w:p>
      <w:pPr>
        <w:tabs>
          <w:tab w:val="left" w:pos="5040"/>
          <w:tab w:val="left" w:pos="6480"/>
        </w:tabs>
        <w:snapToGrid w:val="0"/>
        <w:spacing w:line="576" w:lineRule="exact"/>
        <w:ind w:firstLine="482" w:firstLineChars="200"/>
        <w:jc w:val="left"/>
        <w:rPr>
          <w:rFonts w:hint="eastAsia" w:ascii="宋体" w:hAnsi="宋体"/>
          <w:b/>
          <w:sz w:val="24"/>
        </w:rPr>
      </w:pPr>
      <w:r>
        <w:rPr>
          <w:rFonts w:hint="eastAsia" w:ascii="宋体" w:hAnsi="宋体"/>
          <w:b/>
          <w:sz w:val="24"/>
        </w:rPr>
        <w:t>第十条  特别注意事项：用户的网站注册人名称必须与竞买保证金交纳人名称、买受人名称一致，否则造成的损失和后果由竞买人自行承担，与拍卖人、委托人无关。</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拍卖后期工作</w:t>
      </w:r>
    </w:p>
    <w:p>
      <w:pPr>
        <w:widowControl/>
        <w:snapToGrid w:val="0"/>
        <w:spacing w:line="576" w:lineRule="exact"/>
        <w:ind w:firstLine="482" w:firstLineChars="200"/>
        <w:jc w:val="left"/>
        <w:rPr>
          <w:rFonts w:hint="eastAsia" w:ascii="宋体" w:hAnsi="宋体" w:cs="宋体"/>
          <w:kern w:val="0"/>
          <w:sz w:val="24"/>
        </w:rPr>
      </w:pPr>
      <w:r>
        <w:rPr>
          <w:rFonts w:hint="eastAsia" w:ascii="宋体" w:hAnsi="宋体"/>
          <w:b/>
          <w:bCs/>
          <w:sz w:val="24"/>
        </w:rPr>
        <w:t xml:space="preserve">第十一条 </w:t>
      </w: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未竞得拍卖标的的竞买人，在拍卖会结束后的3个工作日内，由拍卖人凭竞买人报名时登记的户名及账号退还竞买保证金（按银行同期活期存款利率计息）；买受人的竞买保证金凭《</w:t>
      </w:r>
      <w:r>
        <w:rPr>
          <w:rFonts w:hint="eastAsia" w:ascii="宋体" w:hAnsi="宋体" w:eastAsia="宋体" w:cs="宋体"/>
          <w:kern w:val="0"/>
          <w:sz w:val="24"/>
          <w:lang w:val="en-US" w:eastAsia="zh-CN"/>
        </w:rPr>
        <w:t>店面出租协议</w:t>
      </w:r>
      <w:r>
        <w:rPr>
          <w:rFonts w:hint="eastAsia" w:ascii="宋体" w:hAnsi="宋体" w:cs="宋体"/>
          <w:kern w:val="0"/>
          <w:sz w:val="24"/>
        </w:rPr>
        <w:t>》复印件到拍卖人处退还（按银行同期活期存款利率计息）。</w:t>
      </w:r>
    </w:p>
    <w:p>
      <w:pPr>
        <w:widowControl/>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如未收到竞买保证金的，请及时与拍卖人联系（0574-86867055）。</w:t>
      </w:r>
    </w:p>
    <w:p>
      <w:pPr>
        <w:numPr>
          <w:ilvl w:val="0"/>
          <w:numId w:val="1"/>
        </w:numPr>
        <w:spacing w:line="576" w:lineRule="exact"/>
        <w:ind w:firstLine="482" w:firstLineChars="200"/>
        <w:rPr>
          <w:rFonts w:hint="eastAsia" w:ascii="宋体" w:hAnsi="宋体" w:cs="宋体"/>
          <w:b/>
          <w:kern w:val="0"/>
          <w:sz w:val="24"/>
        </w:rPr>
      </w:pPr>
      <w:r>
        <w:rPr>
          <w:rFonts w:hint="eastAsia" w:ascii="宋体" w:hAnsi="宋体" w:cs="宋体"/>
          <w:b/>
          <w:kern w:val="0"/>
          <w:sz w:val="24"/>
        </w:rPr>
        <w:t>付款办法及签约时间</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000000"/>
          <w:kern w:val="0"/>
          <w:sz w:val="24"/>
          <w:lang w:eastAsia="zh-CN"/>
        </w:rPr>
      </w:pPr>
      <w:r>
        <w:rPr>
          <w:rFonts w:hint="eastAsia" w:ascii="宋体" w:hAnsi="宋体"/>
          <w:bCs/>
          <w:sz w:val="24"/>
          <w:lang w:val="en-US" w:eastAsia="zh-CN"/>
        </w:rPr>
        <w:t>1、</w:t>
      </w:r>
      <w:r>
        <w:rPr>
          <w:rFonts w:hint="eastAsia" w:ascii="宋体" w:hAnsi="宋体"/>
          <w:bCs/>
          <w:color w:val="000000"/>
          <w:sz w:val="24"/>
          <w:lang w:eastAsia="zh-CN"/>
        </w:rPr>
        <w:t>买受人</w:t>
      </w:r>
      <w:r>
        <w:rPr>
          <w:rFonts w:hint="eastAsia" w:ascii="宋体" w:hAnsi="宋体"/>
          <w:bCs/>
          <w:color w:val="000000"/>
          <w:sz w:val="24"/>
        </w:rPr>
        <w:t>必须</w:t>
      </w:r>
      <w:r>
        <w:rPr>
          <w:rFonts w:hint="eastAsia" w:ascii="宋体" w:hAnsi="宋体" w:cs="宋体"/>
          <w:color w:val="000000"/>
          <w:kern w:val="0"/>
          <w:sz w:val="24"/>
        </w:rPr>
        <w:t>在</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5</w:t>
      </w:r>
      <w:r>
        <w:rPr>
          <w:rFonts w:ascii="宋体" w:hAnsi="宋体" w:cs="宋体"/>
          <w:color w:val="000000"/>
          <w:kern w:val="0"/>
          <w:sz w:val="24"/>
        </w:rPr>
        <w:t>月</w:t>
      </w:r>
      <w:r>
        <w:rPr>
          <w:rFonts w:hint="eastAsia" w:ascii="宋体" w:hAnsi="宋体" w:cs="宋体"/>
          <w:color w:val="000000"/>
          <w:kern w:val="0"/>
          <w:sz w:val="24"/>
          <w:lang w:val="en-US" w:eastAsia="zh-CN"/>
        </w:rPr>
        <w:t>24</w:t>
      </w:r>
      <w:r>
        <w:rPr>
          <w:rFonts w:ascii="宋体" w:hAnsi="宋体" w:cs="宋体"/>
          <w:color w:val="000000"/>
          <w:kern w:val="0"/>
          <w:sz w:val="24"/>
        </w:rPr>
        <w:t>日</w:t>
      </w:r>
      <w:r>
        <w:rPr>
          <w:rFonts w:hint="eastAsia" w:ascii="宋体" w:hAnsi="宋体" w:cs="宋体"/>
          <w:color w:val="000000"/>
          <w:kern w:val="0"/>
          <w:sz w:val="24"/>
          <w:lang w:eastAsia="zh-CN"/>
        </w:rPr>
        <w:t>下午</w:t>
      </w:r>
      <w:r>
        <w:rPr>
          <w:rFonts w:hint="eastAsia" w:ascii="宋体" w:hAnsi="宋体" w:cs="宋体"/>
          <w:color w:val="000000"/>
          <w:kern w:val="0"/>
          <w:sz w:val="24"/>
          <w:lang w:val="en-US" w:eastAsia="zh-CN"/>
        </w:rPr>
        <w:t>4时前</w:t>
      </w:r>
      <w:r>
        <w:rPr>
          <w:rFonts w:ascii="宋体" w:hAnsi="宋体" w:cs="宋体"/>
          <w:b/>
          <w:bCs/>
          <w:color w:val="000000"/>
          <w:kern w:val="0"/>
          <w:sz w:val="24"/>
        </w:rPr>
        <w:t>（以实际到账为准）</w:t>
      </w:r>
      <w:r>
        <w:rPr>
          <w:rFonts w:hint="eastAsia" w:ascii="宋体" w:hAnsi="宋体" w:cs="宋体"/>
          <w:b/>
          <w:bCs/>
          <w:color w:val="000000"/>
          <w:kern w:val="0"/>
          <w:sz w:val="24"/>
          <w:lang w:eastAsia="zh-CN"/>
        </w:rPr>
        <w:t>向委托人</w:t>
      </w:r>
      <w:r>
        <w:rPr>
          <w:rFonts w:ascii="宋体" w:hAnsi="宋体" w:cs="宋体"/>
          <w:color w:val="000000"/>
          <w:kern w:val="0"/>
          <w:sz w:val="24"/>
        </w:rPr>
        <w:t>一次性付清成交款</w:t>
      </w:r>
      <w:r>
        <w:rPr>
          <w:rFonts w:hint="eastAsia" w:ascii="宋体" w:hAnsi="宋体" w:cs="宋体"/>
          <w:color w:val="000000"/>
          <w:kern w:val="0"/>
          <w:sz w:val="24"/>
          <w:lang w:eastAsia="zh-CN"/>
        </w:rPr>
        <w:t>（首</w:t>
      </w:r>
      <w:r>
        <w:rPr>
          <w:rFonts w:hint="eastAsia" w:ascii="宋体" w:hAnsi="宋体" w:cs="宋体"/>
          <w:color w:val="000000"/>
          <w:kern w:val="0"/>
          <w:sz w:val="24"/>
        </w:rPr>
        <w:t>年</w:t>
      </w:r>
      <w:r>
        <w:rPr>
          <w:rFonts w:ascii="宋体" w:hAnsi="宋体" w:cs="宋体"/>
          <w:color w:val="000000"/>
          <w:kern w:val="0"/>
          <w:sz w:val="24"/>
        </w:rPr>
        <w:t>租金</w:t>
      </w:r>
      <w:r>
        <w:rPr>
          <w:rFonts w:hint="eastAsia" w:ascii="宋体" w:hAnsi="宋体" w:cs="宋体"/>
          <w:color w:val="000000"/>
          <w:kern w:val="0"/>
          <w:sz w:val="24"/>
          <w:lang w:eastAsia="zh-CN"/>
        </w:rPr>
        <w:t>）及履约保证金（三个月租金）并</w:t>
      </w:r>
      <w:r>
        <w:rPr>
          <w:rFonts w:hint="eastAsia" w:ascii="宋体" w:hAnsi="宋体" w:cs="宋体"/>
          <w:color w:val="000000"/>
          <w:kern w:val="0"/>
          <w:sz w:val="24"/>
        </w:rPr>
        <w:t>签订《</w:t>
      </w:r>
      <w:r>
        <w:rPr>
          <w:rFonts w:hint="eastAsia" w:ascii="宋体" w:hAnsi="宋体" w:eastAsia="宋体" w:cs="宋体"/>
          <w:kern w:val="0"/>
          <w:sz w:val="24"/>
          <w:lang w:val="en-US" w:eastAsia="zh-CN"/>
        </w:rPr>
        <w:t>店面出租协议</w:t>
      </w:r>
      <w:r>
        <w:rPr>
          <w:rFonts w:hint="eastAsia" w:ascii="宋体" w:hAnsi="宋体" w:cs="宋体"/>
          <w:color w:val="000000"/>
          <w:kern w:val="0"/>
          <w:sz w:val="24"/>
        </w:rPr>
        <w:t>》</w:t>
      </w:r>
      <w:r>
        <w:rPr>
          <w:rFonts w:hint="eastAsia" w:ascii="宋体" w:hAnsi="宋体" w:cs="宋体"/>
          <w:color w:val="000000"/>
          <w:kern w:val="0"/>
          <w:sz w:val="24"/>
          <w:lang w:eastAsia="zh-CN"/>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户名：</w:t>
      </w:r>
      <w:r>
        <w:rPr>
          <w:rFonts w:hint="eastAsia" w:ascii="宋体" w:hAnsi="宋体" w:eastAsia="宋体" w:cs="宋体"/>
          <w:color w:val="auto"/>
          <w:sz w:val="24"/>
          <w:szCs w:val="24"/>
          <w:lang w:eastAsia="zh-CN"/>
        </w:rPr>
        <w:t>余姚市高铁站场建设投资有限公司</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开户行：</w:t>
      </w:r>
      <w:r>
        <w:rPr>
          <w:rFonts w:hint="eastAsia" w:ascii="宋体" w:hAnsi="宋体" w:eastAsia="宋体" w:cs="宋体"/>
          <w:color w:val="auto"/>
          <w:sz w:val="24"/>
          <w:szCs w:val="24"/>
          <w:lang w:eastAsia="zh-CN"/>
        </w:rPr>
        <w:t>浦发银行宁波余姚支行</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账</w:t>
      </w:r>
      <w:r>
        <w:rPr>
          <w:rFonts w:hint="eastAsia" w:ascii="宋体" w:hAnsi="宋体" w:eastAsia="宋体" w:cs="宋体"/>
          <w:color w:val="auto"/>
          <w:sz w:val="24"/>
          <w:szCs w:val="24"/>
        </w:rPr>
        <w:t>号：</w:t>
      </w:r>
      <w:r>
        <w:rPr>
          <w:rFonts w:hint="eastAsia" w:ascii="宋体" w:hAnsi="宋体" w:eastAsia="宋体" w:cs="宋体"/>
          <w:color w:val="auto"/>
          <w:sz w:val="24"/>
          <w:szCs w:val="24"/>
          <w:lang w:val="en-US" w:eastAsia="zh-CN"/>
        </w:rPr>
        <w:t>94060154900000040</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以银行到账为准</w:t>
      </w:r>
      <w:r>
        <w:rPr>
          <w:rFonts w:hint="eastAsia" w:ascii="宋体" w:hAnsi="宋体" w:eastAsia="宋体" w:cs="宋体"/>
          <w:color w:val="auto"/>
          <w:sz w:val="24"/>
          <w:szCs w:val="24"/>
          <w:lang w:eastAsia="zh-CN"/>
        </w:rPr>
        <w:t>。</w:t>
      </w:r>
    </w:p>
    <w:p>
      <w:pPr>
        <w:keepNext w:val="0"/>
        <w:keepLines w:val="0"/>
        <w:pageBreakBefore w:val="0"/>
        <w:numPr>
          <w:ilvl w:val="0"/>
          <w:numId w:val="0"/>
        </w:numPr>
        <w:kinsoku/>
        <w:wordWrap/>
        <w:overflowPunct/>
        <w:topLinePunct w:val="0"/>
        <w:autoSpaceDE/>
        <w:autoSpaceDN/>
        <w:bidi w:val="0"/>
        <w:adjustRightInd/>
        <w:snapToGrid/>
        <w:spacing w:line="396" w:lineRule="auto"/>
        <w:ind w:left="19" w:leftChars="9" w:firstLine="458" w:firstLineChars="191"/>
        <w:textAlignment w:val="auto"/>
        <w:rPr>
          <w:rFonts w:hint="eastAsia" w:ascii="宋体" w:hAnsi="宋体" w:eastAsia="宋体" w:cs="宋体"/>
          <w:bCs/>
          <w:sz w:val="24"/>
        </w:rPr>
      </w:pPr>
      <w:r>
        <w:rPr>
          <w:rFonts w:hint="eastAsia" w:ascii="宋体" w:hAnsi="宋体" w:eastAsia="宋体" w:cs="宋体"/>
          <w:sz w:val="24"/>
          <w:lang w:val="en-US" w:eastAsia="zh-CN"/>
        </w:rPr>
        <w:t>2、</w:t>
      </w:r>
      <w:r>
        <w:rPr>
          <w:rFonts w:hint="eastAsia" w:ascii="宋体" w:hAnsi="宋体" w:eastAsia="宋体" w:cs="宋体"/>
          <w:sz w:val="24"/>
          <w:lang w:eastAsia="zh-CN"/>
        </w:rPr>
        <w:t>拍卖成交后，拍卖人向买受人收取成交价</w:t>
      </w:r>
      <w:r>
        <w:rPr>
          <w:rFonts w:hint="eastAsia" w:ascii="宋体" w:hAnsi="宋体" w:eastAsia="宋体" w:cs="宋体"/>
          <w:sz w:val="24"/>
          <w:lang w:val="en-US" w:eastAsia="zh-CN"/>
        </w:rPr>
        <w:t>(首年租金）4%</w:t>
      </w:r>
      <w:r>
        <w:rPr>
          <w:rFonts w:hint="eastAsia" w:ascii="宋体" w:hAnsi="宋体" w:eastAsia="宋体" w:cs="宋体"/>
          <w:sz w:val="24"/>
        </w:rPr>
        <w:t>拍卖佣金</w:t>
      </w:r>
      <w:r>
        <w:rPr>
          <w:rFonts w:hint="eastAsia" w:ascii="宋体" w:hAnsi="宋体" w:eastAsia="宋体" w:cs="宋体"/>
          <w:sz w:val="24"/>
          <w:lang w:eastAsia="zh-CN"/>
        </w:rPr>
        <w:t>，且于</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5</w:t>
      </w:r>
      <w:r>
        <w:rPr>
          <w:rFonts w:ascii="宋体" w:hAnsi="宋体" w:cs="宋体"/>
          <w:color w:val="000000"/>
          <w:kern w:val="0"/>
          <w:sz w:val="24"/>
        </w:rPr>
        <w:t>月</w:t>
      </w:r>
      <w:r>
        <w:rPr>
          <w:rFonts w:hint="eastAsia" w:ascii="宋体" w:hAnsi="宋体" w:cs="宋体"/>
          <w:color w:val="000000"/>
          <w:kern w:val="0"/>
          <w:sz w:val="24"/>
          <w:lang w:val="en-US" w:eastAsia="zh-CN"/>
        </w:rPr>
        <w:t>24</w:t>
      </w:r>
      <w:r>
        <w:rPr>
          <w:rFonts w:ascii="宋体" w:hAnsi="宋体" w:cs="宋体"/>
          <w:color w:val="000000"/>
          <w:kern w:val="0"/>
          <w:sz w:val="24"/>
        </w:rPr>
        <w:t>日下午4时</w:t>
      </w:r>
      <w:r>
        <w:rPr>
          <w:rFonts w:hint="eastAsia" w:ascii="宋体" w:hAnsi="宋体" w:cs="宋体"/>
          <w:color w:val="000000"/>
          <w:kern w:val="0"/>
          <w:sz w:val="24"/>
          <w:lang w:eastAsia="zh-CN"/>
        </w:rPr>
        <w:t>前</w:t>
      </w:r>
      <w:r>
        <w:rPr>
          <w:rFonts w:hint="eastAsia" w:ascii="宋体" w:hAnsi="宋体" w:eastAsia="宋体" w:cs="宋体"/>
          <w:sz w:val="24"/>
          <w:lang w:eastAsia="zh-CN"/>
        </w:rPr>
        <w:t>付至拍卖</w:t>
      </w:r>
      <w:r>
        <w:rPr>
          <w:rFonts w:hint="eastAsia" w:ascii="宋体" w:hAnsi="宋体" w:eastAsia="宋体" w:cs="宋体"/>
          <w:sz w:val="24"/>
          <w:lang w:val="en-US" w:eastAsia="zh-CN"/>
        </w:rPr>
        <w:t>公司指定账户。</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户名：宁波亚德拍卖有限公司</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开户行：农业银行宁波塘湾支行</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lang w:eastAsia="zh-CN"/>
        </w:rPr>
        <w:t>账</w:t>
      </w:r>
      <w:r>
        <w:rPr>
          <w:rFonts w:hint="eastAsia" w:ascii="宋体" w:hAnsi="宋体" w:eastAsia="宋体" w:cs="宋体"/>
          <w:bCs/>
          <w:sz w:val="24"/>
        </w:rPr>
        <w:t>号：39308001040002674</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rPr>
        <w:t>中拍平台向用户提供了信息资源展示、网络拍卖交易等软件服务，拍卖成交后平台将收取相应软件使用费即系统成交价金额的1.5‰(千分之一点五）。软件使用费缴纳期限为订单生成之日起</w:t>
      </w:r>
      <w:r>
        <w:rPr>
          <w:rFonts w:hint="eastAsia" w:ascii="宋体" w:hAnsi="宋体" w:cs="宋体"/>
          <w:i w:val="0"/>
          <w:iCs w:val="0"/>
          <w:caps w:val="0"/>
          <w:color w:val="auto"/>
          <w:spacing w:val="0"/>
          <w:sz w:val="24"/>
          <w:szCs w:val="24"/>
          <w:shd w:val="clear" w:color="auto" w:fill="FFFFFF"/>
          <w:lang w:eastAsia="zh-CN"/>
        </w:rPr>
        <w:t>（成交之日起）</w:t>
      </w:r>
      <w:r>
        <w:rPr>
          <w:rFonts w:hint="eastAsia" w:ascii="宋体" w:hAnsi="宋体" w:eastAsia="宋体" w:cs="宋体"/>
          <w:i w:val="0"/>
          <w:iCs w:val="0"/>
          <w:caps w:val="0"/>
          <w:color w:val="auto"/>
          <w:spacing w:val="0"/>
          <w:sz w:val="24"/>
          <w:szCs w:val="24"/>
          <w:shd w:val="clear" w:color="auto" w:fill="FFFFFF"/>
        </w:rPr>
        <w:t>的7日内，</w:t>
      </w:r>
      <w:r>
        <w:rPr>
          <w:rFonts w:hint="eastAsia" w:ascii="宋体" w:hAnsi="宋体" w:eastAsia="宋体" w:cs="宋体"/>
          <w:i w:val="0"/>
          <w:iCs w:val="0"/>
          <w:caps w:val="0"/>
          <w:color w:val="auto"/>
          <w:spacing w:val="0"/>
          <w:sz w:val="24"/>
          <w:szCs w:val="24"/>
          <w:shd w:val="clear" w:color="auto" w:fill="FFFFFF"/>
          <w:lang w:eastAsia="zh-CN"/>
        </w:rPr>
        <w:t>买受人在自己的拍卖后台点击支付，若</w:t>
      </w:r>
      <w:r>
        <w:rPr>
          <w:rFonts w:hint="eastAsia" w:ascii="宋体" w:hAnsi="宋体" w:eastAsia="宋体" w:cs="宋体"/>
          <w:i w:val="0"/>
          <w:iCs w:val="0"/>
          <w:caps w:val="0"/>
          <w:color w:val="auto"/>
          <w:spacing w:val="0"/>
          <w:sz w:val="24"/>
          <w:szCs w:val="24"/>
          <w:shd w:val="clear" w:color="auto" w:fill="FFFFFF"/>
        </w:rPr>
        <w:t>买受人</w:t>
      </w:r>
      <w:r>
        <w:rPr>
          <w:rFonts w:hint="eastAsia" w:ascii="宋体" w:hAnsi="宋体" w:eastAsia="宋体" w:cs="宋体"/>
          <w:i w:val="0"/>
          <w:iCs w:val="0"/>
          <w:caps w:val="0"/>
          <w:color w:val="auto"/>
          <w:spacing w:val="0"/>
          <w:sz w:val="24"/>
          <w:szCs w:val="24"/>
          <w:shd w:val="clear" w:color="auto" w:fill="FFFFFF"/>
          <w:lang w:eastAsia="zh-CN"/>
        </w:rPr>
        <w:t>未支付该笔软件服务费的，拍卖人则不予办理拍卖成交相关手续。</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拍卖人只出具买受佣金发票，其他相关票据由委托人提供。</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买受人如未能按期足额支付上述款项或未签订《拍卖成交确认书》</w:t>
      </w:r>
      <w:r>
        <w:rPr>
          <w:rFonts w:hint="eastAsia" w:ascii="宋体" w:hAnsi="宋体" w:cs="宋体"/>
          <w:kern w:val="0"/>
          <w:sz w:val="24"/>
          <w:lang w:eastAsia="zh-CN"/>
        </w:rPr>
        <w:t>、</w:t>
      </w:r>
      <w:r>
        <w:rPr>
          <w:rFonts w:hint="eastAsia" w:ascii="宋体" w:hAnsi="宋体" w:cs="宋体"/>
          <w:kern w:val="0"/>
          <w:sz w:val="24"/>
        </w:rPr>
        <w:t>《</w:t>
      </w:r>
      <w:r>
        <w:rPr>
          <w:rFonts w:hint="eastAsia" w:ascii="宋体" w:hAnsi="宋体" w:eastAsia="宋体" w:cs="宋体"/>
          <w:kern w:val="0"/>
          <w:sz w:val="24"/>
          <w:lang w:val="en-US" w:eastAsia="zh-CN"/>
        </w:rPr>
        <w:t>店面出租协议</w:t>
      </w:r>
      <w:r>
        <w:rPr>
          <w:rFonts w:hint="eastAsia" w:ascii="宋体" w:hAnsi="宋体" w:cs="宋体"/>
          <w:kern w:val="0"/>
          <w:sz w:val="24"/>
        </w:rPr>
        <w:t>》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spacing w:line="576" w:lineRule="exact"/>
        <w:ind w:firstLine="472" w:firstLineChars="197"/>
        <w:rPr>
          <w:rFonts w:hint="eastAsia" w:ascii="宋体" w:hAnsi="宋体"/>
          <w:bCs/>
          <w:sz w:val="24"/>
        </w:rPr>
      </w:pPr>
      <w:r>
        <w:rPr>
          <w:rFonts w:hint="eastAsia" w:ascii="宋体" w:hAnsi="宋体"/>
          <w:bCs/>
          <w:sz w:val="24"/>
        </w:rPr>
        <w:t>《拍卖法》第三十九条：买受人应当按照约定支付拍卖标的的价款，未按照约定支付价款的，应当承担违约责任，或者由拍卖人征得委托人的同意，将拍卖标的再行拍卖。</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bCs/>
          <w:sz w:val="24"/>
        </w:rPr>
        <w:t>拍卖标的再行拍卖的，原买受人应当支付第一次拍卖中本人及委托人应当支付的佣金。再行拍卖的价款低于原拍卖价款的，原买受人应当补足差额。</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 xml:space="preserve">第十三条 </w:t>
      </w:r>
      <w:r>
        <w:rPr>
          <w:rFonts w:hint="eastAsia" w:ascii="宋体" w:hAnsi="宋体" w:cs="宋体"/>
          <w:kern w:val="0"/>
          <w:sz w:val="24"/>
        </w:rPr>
        <w:t xml:space="preserve"> 标的物交付：签订《</w:t>
      </w:r>
      <w:r>
        <w:rPr>
          <w:rFonts w:hint="eastAsia" w:ascii="宋体" w:hAnsi="宋体" w:eastAsia="宋体" w:cs="宋体"/>
          <w:kern w:val="0"/>
          <w:sz w:val="24"/>
          <w:lang w:val="en-US" w:eastAsia="zh-CN"/>
        </w:rPr>
        <w:t>店面出租协议</w:t>
      </w:r>
      <w:r>
        <w:rPr>
          <w:rFonts w:hint="eastAsia" w:ascii="宋体" w:hAnsi="宋体" w:cs="宋体"/>
          <w:kern w:val="0"/>
          <w:sz w:val="24"/>
        </w:rPr>
        <w:t>》后由委托人交付标的物给买受人。</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第十</w:t>
      </w:r>
      <w:r>
        <w:rPr>
          <w:rFonts w:hint="eastAsia" w:ascii="宋体" w:hAnsi="宋体" w:cs="宋体"/>
          <w:b/>
          <w:bCs/>
          <w:kern w:val="0"/>
          <w:sz w:val="24"/>
          <w:lang w:eastAsia="zh-CN"/>
        </w:rPr>
        <w:t>四</w:t>
      </w:r>
      <w:r>
        <w:rPr>
          <w:rFonts w:hint="eastAsia" w:ascii="宋体" w:hAnsi="宋体" w:cs="宋体"/>
          <w:b/>
          <w:bCs/>
          <w:kern w:val="0"/>
          <w:sz w:val="24"/>
        </w:rPr>
        <w:t>条</w:t>
      </w:r>
      <w:r>
        <w:rPr>
          <w:rFonts w:hint="eastAsia" w:ascii="宋体" w:hAnsi="宋体" w:cs="宋体"/>
          <w:kern w:val="0"/>
          <w:sz w:val="24"/>
        </w:rPr>
        <w:t xml:space="preserve">  拍卖结果公告：《</w:t>
      </w:r>
      <w:r>
        <w:rPr>
          <w:rFonts w:hint="eastAsia" w:ascii="宋体" w:hAnsi="宋体" w:eastAsia="宋体" w:cs="宋体"/>
          <w:kern w:val="0"/>
          <w:sz w:val="24"/>
          <w:lang w:val="en-US" w:eastAsia="zh-CN"/>
        </w:rPr>
        <w:t>店面出租协议</w:t>
      </w:r>
      <w:r>
        <w:rPr>
          <w:rFonts w:hint="eastAsia" w:ascii="宋体" w:hAnsi="宋体" w:cs="宋体"/>
          <w:kern w:val="0"/>
          <w:sz w:val="24"/>
        </w:rPr>
        <w:t>》生效后的2个工作日内，由拍卖人将交易结果在宁波市公共资源交易网余姚市分网公告5个工作日。</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附 则</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五</w:t>
      </w:r>
      <w:r>
        <w:rPr>
          <w:rFonts w:hint="eastAsia" w:ascii="宋体" w:hAnsi="宋体" w:cs="宋体"/>
          <w:b/>
          <w:bCs/>
          <w:kern w:val="0"/>
          <w:sz w:val="24"/>
        </w:rPr>
        <w:t>条</w:t>
      </w:r>
      <w:r>
        <w:rPr>
          <w:rFonts w:hint="eastAsia"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六</w:t>
      </w:r>
      <w:r>
        <w:rPr>
          <w:rFonts w:hint="eastAsia" w:ascii="宋体" w:hAnsi="宋体" w:cs="宋体"/>
          <w:b/>
          <w:bCs/>
          <w:kern w:val="0"/>
          <w:sz w:val="24"/>
        </w:rPr>
        <w:t>条</w:t>
      </w:r>
      <w:r>
        <w:rPr>
          <w:rFonts w:hint="eastAsia" w:ascii="宋体" w:hAnsi="宋体" w:cs="宋体"/>
          <w:kern w:val="0"/>
          <w:sz w:val="24"/>
        </w:rPr>
        <w:t xml:space="preserve"> 本须知解释权归本次拍卖活动的委托人、拍卖人所有。  </w:t>
      </w:r>
    </w:p>
    <w:p>
      <w:pPr>
        <w:tabs>
          <w:tab w:val="left" w:pos="5040"/>
          <w:tab w:val="left" w:pos="6480"/>
        </w:tabs>
        <w:snapToGrid w:val="0"/>
        <w:spacing w:line="576" w:lineRule="exact"/>
        <w:ind w:firstLine="1200" w:firstLineChars="500"/>
        <w:jc w:val="left"/>
        <w:rPr>
          <w:rFonts w:hint="eastAsia" w:ascii="宋体" w:hAnsi="宋体" w:cs="宋体"/>
          <w:kern w:val="0"/>
          <w:sz w:val="24"/>
          <w:lang w:val="en-US" w:eastAsia="zh-CN"/>
        </w:rPr>
      </w:pPr>
      <w:r>
        <w:rPr>
          <w:rFonts w:hint="eastAsia" w:ascii="宋体" w:hAnsi="宋体" w:cs="宋体"/>
          <w:kern w:val="0"/>
          <w:sz w:val="24"/>
        </w:rPr>
        <w:t xml:space="preserve">                   </w:t>
      </w:r>
    </w:p>
    <w:p>
      <w:pPr>
        <w:tabs>
          <w:tab w:val="left" w:pos="5040"/>
          <w:tab w:val="left" w:pos="6480"/>
        </w:tabs>
        <w:snapToGrid w:val="0"/>
        <w:spacing w:line="576" w:lineRule="exact"/>
        <w:ind w:firstLine="4080" w:firstLineChars="1700"/>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宁波亚德拍卖有限公司</w:t>
      </w:r>
    </w:p>
    <w:p>
      <w:pPr>
        <w:tabs>
          <w:tab w:val="left" w:pos="5040"/>
          <w:tab w:val="left" w:pos="6480"/>
        </w:tabs>
        <w:snapToGrid w:val="0"/>
        <w:spacing w:line="576" w:lineRule="exact"/>
        <w:ind w:firstLine="4800" w:firstLineChars="2000"/>
        <w:jc w:val="left"/>
        <w:rPr>
          <w:rFonts w:hint="eastAsia" w:ascii="宋体" w:hAnsi="宋体" w:cs="宋体"/>
          <w:kern w:val="0"/>
          <w:sz w:val="24"/>
        </w:rPr>
      </w:pP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4</w:t>
      </w:r>
      <w:r>
        <w:rPr>
          <w:rFonts w:hint="eastAsia" w:ascii="宋体" w:hAnsi="宋体" w:cs="宋体"/>
          <w:kern w:val="0"/>
          <w:sz w:val="24"/>
        </w:rPr>
        <w:t>月</w:t>
      </w:r>
      <w:r>
        <w:rPr>
          <w:rFonts w:hint="eastAsia" w:ascii="宋体" w:hAnsi="宋体" w:cs="宋体"/>
          <w:kern w:val="0"/>
          <w:sz w:val="24"/>
          <w:lang w:val="en-US" w:eastAsia="zh-CN"/>
        </w:rPr>
        <w:t>28</w:t>
      </w:r>
      <w:r>
        <w:rPr>
          <w:rFonts w:hint="eastAsia" w:ascii="宋体" w:hAnsi="宋体" w:cs="宋体"/>
          <w:kern w:val="0"/>
          <w:sz w:val="24"/>
        </w:rPr>
        <w:t>日</w:t>
      </w:r>
    </w:p>
    <w:p>
      <w:pPr>
        <w:autoSpaceDE w:val="0"/>
        <w:spacing w:line="360" w:lineRule="auto"/>
        <w:ind w:firstLine="482" w:firstLineChars="200"/>
        <w:rPr>
          <w:rFonts w:hint="eastAsia" w:ascii="宋体" w:hAnsi="宋体" w:eastAsia="宋体" w:cs="宋体"/>
          <w:b/>
          <w:bCs/>
          <w:sz w:val="24"/>
          <w:szCs w:val="24"/>
        </w:rPr>
      </w:pPr>
    </w:p>
    <w:p>
      <w:pPr>
        <w:autoSpaceDE w:val="0"/>
        <w:spacing w:line="360" w:lineRule="auto"/>
        <w:ind w:firstLine="482" w:firstLineChars="200"/>
        <w:rPr>
          <w:rFonts w:hint="eastAsia" w:ascii="宋体" w:hAnsi="宋体" w:eastAsia="宋体" w:cs="宋体"/>
          <w:b/>
          <w:bCs/>
          <w:sz w:val="24"/>
          <w:szCs w:val="24"/>
        </w:rPr>
      </w:pPr>
    </w:p>
    <w:p>
      <w:pPr>
        <w:autoSpaceDE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 xml:space="preserve">本人确认已对以上《拍卖须知》进行了认真研读，并对本次拍卖标的进行了充分、全面的了解，一旦参与拍卖视为予以认可，现承诺在本次拍卖活动中严格履行上述各项条款。 </w:t>
      </w:r>
    </w:p>
    <w:p>
      <w:pPr>
        <w:autoSpaceDE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签字(盖章)：</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 xml:space="preserve">年 </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 xml:space="preserve"> 月   日</w:t>
      </w:r>
    </w:p>
    <w:p>
      <w:pPr>
        <w:jc w:val="left"/>
        <w:rPr>
          <w:rFonts w:hint="eastAsia"/>
          <w:b w:val="0"/>
          <w:bCs w:val="0"/>
          <w:sz w:val="21"/>
          <w:szCs w:val="21"/>
          <w:lang w:eastAsia="zh-CN"/>
        </w:rPr>
      </w:pPr>
    </w:p>
    <w:p>
      <w:pPr>
        <w:jc w:val="left"/>
        <w:rPr>
          <w:rFonts w:hint="eastAsia"/>
          <w:b w:val="0"/>
          <w:bCs w:val="0"/>
          <w:sz w:val="21"/>
          <w:szCs w:val="21"/>
          <w:lang w:eastAsia="zh-CN"/>
        </w:rPr>
      </w:pPr>
    </w:p>
    <w:p>
      <w:pPr>
        <w:jc w:val="left"/>
        <w:rPr>
          <w:rFonts w:hint="eastAsia"/>
          <w:b w:val="0"/>
          <w:bCs w:val="0"/>
          <w:sz w:val="21"/>
          <w:szCs w:val="21"/>
          <w:lang w:eastAsia="zh-CN"/>
        </w:rPr>
      </w:pPr>
    </w:p>
    <w:p>
      <w:pPr>
        <w:jc w:val="left"/>
        <w:rPr>
          <w:rFonts w:hint="eastAsia"/>
          <w:b w:val="0"/>
          <w:bCs w:val="0"/>
          <w:sz w:val="21"/>
          <w:szCs w:val="21"/>
          <w:lang w:eastAsia="zh-CN"/>
        </w:rPr>
      </w:pPr>
    </w:p>
    <w:p>
      <w:pPr>
        <w:jc w:val="left"/>
        <w:rPr>
          <w:rFonts w:hint="eastAsia"/>
          <w:b w:val="0"/>
          <w:bCs w:val="0"/>
          <w:sz w:val="21"/>
          <w:szCs w:val="21"/>
          <w:lang w:eastAsia="zh-CN"/>
        </w:rPr>
      </w:pPr>
    </w:p>
    <w:p>
      <w:pPr>
        <w:jc w:val="left"/>
        <w:rPr>
          <w:rFonts w:hint="eastAsia"/>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b w:val="0"/>
          <w:bCs w:val="0"/>
          <w:sz w:val="21"/>
          <w:szCs w:val="21"/>
          <w:lang w:eastAsia="zh-CN"/>
        </w:rPr>
      </w:pPr>
      <w:r>
        <w:rPr>
          <w:rFonts w:hint="eastAsia"/>
          <w:b w:val="0"/>
          <w:bCs w:val="0"/>
          <w:sz w:val="21"/>
          <w:szCs w:val="21"/>
          <w:lang w:eastAsia="zh-CN"/>
        </w:rPr>
        <w:t>附：</w:t>
      </w:r>
    </w:p>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b/>
          <w:bCs/>
          <w:sz w:val="21"/>
          <w:szCs w:val="21"/>
          <w:lang w:eastAsia="zh-CN"/>
        </w:rPr>
      </w:pPr>
      <w:r>
        <w:rPr>
          <w:rFonts w:hint="eastAsia"/>
          <w:b/>
          <w:bCs/>
          <w:sz w:val="32"/>
          <w:szCs w:val="32"/>
          <w:lang w:eastAsia="zh-CN"/>
        </w:rPr>
        <w:t>永丰北苑、五星佳苑店面两年租赁权拍卖清单</w:t>
      </w:r>
    </w:p>
    <w:tbl>
      <w:tblPr>
        <w:tblStyle w:val="3"/>
        <w:tblW w:w="9540" w:type="dxa"/>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605"/>
        <w:gridCol w:w="720"/>
        <w:gridCol w:w="1305"/>
        <w:gridCol w:w="1215"/>
        <w:gridCol w:w="9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top"/>
          </w:tcPr>
          <w:p>
            <w:pPr>
              <w:jc w:val="center"/>
              <w:rPr>
                <w:rFonts w:hint="eastAsia"/>
                <w:b/>
                <w:bCs/>
                <w:sz w:val="24"/>
                <w:szCs w:val="24"/>
                <w:vertAlign w:val="baseline"/>
                <w:lang w:eastAsia="zh-CN"/>
              </w:rPr>
            </w:pPr>
            <w:r>
              <w:rPr>
                <w:rFonts w:hint="eastAsia"/>
                <w:b/>
                <w:bCs/>
                <w:sz w:val="24"/>
                <w:szCs w:val="24"/>
                <w:vertAlign w:val="baseline"/>
                <w:lang w:eastAsia="zh-CN"/>
              </w:rPr>
              <w:t>标的号</w:t>
            </w:r>
          </w:p>
        </w:tc>
        <w:tc>
          <w:tcPr>
            <w:tcW w:w="4605" w:type="dxa"/>
            <w:noWrap w:val="0"/>
            <w:vAlign w:val="center"/>
          </w:tcPr>
          <w:p>
            <w:pPr>
              <w:jc w:val="center"/>
              <w:rPr>
                <w:rFonts w:hint="eastAsia"/>
                <w:b/>
                <w:bCs/>
                <w:sz w:val="24"/>
                <w:szCs w:val="24"/>
                <w:vertAlign w:val="baseline"/>
                <w:lang w:eastAsia="zh-CN"/>
              </w:rPr>
            </w:pPr>
            <w:r>
              <w:rPr>
                <w:rFonts w:hint="eastAsia"/>
                <w:b/>
                <w:bCs/>
                <w:sz w:val="24"/>
                <w:szCs w:val="24"/>
                <w:vertAlign w:val="baseline"/>
                <w:lang w:eastAsia="zh-CN"/>
              </w:rPr>
              <w:t>标的位置</w:t>
            </w:r>
          </w:p>
        </w:tc>
        <w:tc>
          <w:tcPr>
            <w:tcW w:w="720" w:type="dxa"/>
            <w:noWrap w:val="0"/>
            <w:vAlign w:val="top"/>
          </w:tcPr>
          <w:p>
            <w:pPr>
              <w:jc w:val="center"/>
              <w:rPr>
                <w:rFonts w:hint="eastAsia"/>
                <w:b/>
                <w:bCs/>
                <w:sz w:val="24"/>
                <w:szCs w:val="24"/>
                <w:vertAlign w:val="baseline"/>
                <w:lang w:eastAsia="zh-CN"/>
              </w:rPr>
            </w:pPr>
            <w:r>
              <w:rPr>
                <w:rFonts w:hint="eastAsia"/>
                <w:b/>
                <w:bCs/>
                <w:sz w:val="24"/>
                <w:szCs w:val="24"/>
                <w:vertAlign w:val="baseline"/>
                <w:lang w:eastAsia="zh-CN"/>
              </w:rPr>
              <w:t>租赁用途</w:t>
            </w:r>
          </w:p>
        </w:tc>
        <w:tc>
          <w:tcPr>
            <w:tcW w:w="1305" w:type="dxa"/>
            <w:noWrap w:val="0"/>
            <w:vAlign w:val="top"/>
          </w:tcPr>
          <w:p>
            <w:pPr>
              <w:jc w:val="center"/>
              <w:rPr>
                <w:rFonts w:hint="eastAsia"/>
                <w:b/>
                <w:bCs/>
                <w:sz w:val="24"/>
                <w:szCs w:val="24"/>
                <w:vertAlign w:val="baseline"/>
                <w:lang w:eastAsia="zh-CN"/>
              </w:rPr>
            </w:pPr>
            <w:r>
              <w:rPr>
                <w:rFonts w:hint="eastAsia"/>
                <w:b/>
                <w:bCs/>
                <w:sz w:val="24"/>
                <w:szCs w:val="24"/>
                <w:vertAlign w:val="baseline"/>
                <w:lang w:eastAsia="zh-CN"/>
              </w:rPr>
              <w:t>租赁面积（平方米）</w:t>
            </w:r>
          </w:p>
        </w:tc>
        <w:tc>
          <w:tcPr>
            <w:tcW w:w="1215" w:type="dxa"/>
            <w:noWrap w:val="0"/>
            <w:vAlign w:val="top"/>
          </w:tcPr>
          <w:p>
            <w:pPr>
              <w:jc w:val="center"/>
              <w:rPr>
                <w:rFonts w:hint="eastAsia"/>
                <w:b/>
                <w:bCs/>
                <w:sz w:val="24"/>
                <w:szCs w:val="24"/>
                <w:vertAlign w:val="baseline"/>
                <w:lang w:eastAsia="zh-CN"/>
              </w:rPr>
            </w:pPr>
            <w:r>
              <w:rPr>
                <w:rFonts w:hint="eastAsia"/>
                <w:b/>
                <w:bCs/>
                <w:sz w:val="24"/>
                <w:szCs w:val="24"/>
                <w:vertAlign w:val="baseline"/>
                <w:lang w:eastAsia="zh-CN"/>
              </w:rPr>
              <w:t>起拍价（元</w:t>
            </w:r>
            <w:r>
              <w:rPr>
                <w:rFonts w:hint="eastAsia"/>
                <w:b/>
                <w:bCs/>
                <w:sz w:val="24"/>
                <w:szCs w:val="24"/>
                <w:vertAlign w:val="baseline"/>
                <w:lang w:val="en-US" w:eastAsia="zh-CN"/>
              </w:rPr>
              <w:t>/年</w:t>
            </w:r>
            <w:r>
              <w:rPr>
                <w:rFonts w:hint="eastAsia"/>
                <w:b/>
                <w:bCs/>
                <w:sz w:val="24"/>
                <w:szCs w:val="24"/>
                <w:vertAlign w:val="baseline"/>
                <w:lang w:eastAsia="zh-CN"/>
              </w:rPr>
              <w:t>）</w:t>
            </w:r>
          </w:p>
        </w:tc>
        <w:tc>
          <w:tcPr>
            <w:tcW w:w="990" w:type="dxa"/>
            <w:noWrap w:val="0"/>
            <w:vAlign w:val="top"/>
          </w:tcPr>
          <w:p>
            <w:pPr>
              <w:jc w:val="center"/>
              <w:rPr>
                <w:rFonts w:hint="eastAsia"/>
                <w:b/>
                <w:bCs/>
                <w:sz w:val="24"/>
                <w:szCs w:val="24"/>
                <w:vertAlign w:val="baseline"/>
                <w:lang w:eastAsia="zh-CN"/>
              </w:rPr>
            </w:pPr>
            <w:r>
              <w:rPr>
                <w:rFonts w:hint="eastAsia"/>
                <w:b/>
                <w:bCs/>
                <w:sz w:val="24"/>
                <w:szCs w:val="24"/>
                <w:vertAlign w:val="baseline"/>
                <w:lang w:eastAsia="zh-CN"/>
              </w:rPr>
              <w:t>保证金（元）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余姚市城区舜宇东路300号1幢1-2层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1218.44</w:t>
            </w:r>
          </w:p>
        </w:tc>
        <w:tc>
          <w:tcPr>
            <w:tcW w:w="1215" w:type="dxa"/>
            <w:vMerge w:val="restart"/>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292600</w:t>
            </w:r>
          </w:p>
        </w:tc>
        <w:tc>
          <w:tcPr>
            <w:tcW w:w="990"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88000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余姚市城区舜宇东路304、306号1幢1层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余姚市城区舜宇东路308号1幢1-2层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余姚市城区舜宇东路310号1幢1-2层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余姚市城区舜宇东路312号1幢1-2层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余姚市城区舜宇东路314号1幢1-2层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余姚市城区舜宇东路316、318号1幢1层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余姚市城区舜宇东路320号1幢1-2层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余姚市城区舜宇东路322号1幢1-2层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余姚市城区舜宇东路324号1幢1-2层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余姚市城区舜宇东路326号1幢1-2层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余姚市城区舜宇东路328、330号1幢1层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余姚市城区舜宇东路332号1幢1-2层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余姚市城区舜宇东路334号1幢1-2层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eastAsia="zh-CN"/>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sz w:val="24"/>
                <w:szCs w:val="24"/>
                <w:vertAlign w:val="baseline"/>
                <w:lang w:eastAsia="zh-CN"/>
              </w:rPr>
            </w:pPr>
          </w:p>
        </w:tc>
        <w:tc>
          <w:tcPr>
            <w:tcW w:w="990" w:type="dxa"/>
            <w:vMerge w:val="continue"/>
            <w:noWrap w:val="0"/>
            <w:vAlign w:val="top"/>
          </w:tcPr>
          <w:p>
            <w:pPr>
              <w:jc w:val="center"/>
              <w:rPr>
                <w:rFonts w:hint="eastAsia" w:ascii="宋体" w:hAnsi="宋体" w:eastAsia="宋体" w:cs="宋体"/>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余姚市城区舜宇东路2250号、2252号2幢1层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418.12</w:t>
            </w:r>
          </w:p>
        </w:tc>
        <w:tc>
          <w:tcPr>
            <w:tcW w:w="121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100400</w:t>
            </w:r>
          </w:p>
        </w:tc>
        <w:tc>
          <w:tcPr>
            <w:tcW w:w="990"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top"/>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余姚市城区舜宇东路2254号、2256号、2258号2幢1层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top"/>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top"/>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余姚市城区舜宇东路2260号、2262号2幢1层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top"/>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top"/>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余姚市城区舜宇东路2264号、2266号2幢1层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top"/>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top"/>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余姚市城区舜宇东路2268号、2270号2幢1层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top"/>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top"/>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余姚市城区舜宇东路2272号、2274号2幢1层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top"/>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4605"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余姚市城区舜宇东路368号、370号10幢1层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135.07</w:t>
            </w:r>
          </w:p>
        </w:tc>
        <w:tc>
          <w:tcPr>
            <w:tcW w:w="121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32500</w:t>
            </w:r>
          </w:p>
        </w:tc>
        <w:tc>
          <w:tcPr>
            <w:tcW w:w="990"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top"/>
          </w:tcPr>
          <w:p>
            <w:pPr>
              <w:jc w:val="center"/>
              <w:rPr>
                <w:rFonts w:hint="eastAsia" w:ascii="宋体" w:hAnsi="宋体" w:eastAsia="宋体" w:cs="宋体"/>
                <w:sz w:val="24"/>
                <w:szCs w:val="24"/>
                <w:vertAlign w:val="baseline"/>
                <w:lang w:eastAsia="zh-CN"/>
              </w:rPr>
            </w:pPr>
          </w:p>
        </w:tc>
        <w:tc>
          <w:tcPr>
            <w:tcW w:w="4605"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余姚市城区舜宇东路372号10幢1-2层</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top"/>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w:t>
            </w: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余姚市城区五星佳苑1幢店面1号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1300.17</w:t>
            </w:r>
          </w:p>
        </w:tc>
        <w:tc>
          <w:tcPr>
            <w:tcW w:w="121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311900</w:t>
            </w:r>
          </w:p>
        </w:tc>
        <w:tc>
          <w:tcPr>
            <w:tcW w:w="990"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余姚市城区五星佳苑1幢店面2号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余姚市城区五星佳苑1幢店面3号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余姚市城区五星佳苑1幢店面4号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余姚市城区五星佳苑1幢店面5号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余姚市城区五星佳苑1幢店面6号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余姚市城区五星佳苑1幢店面7号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余姚市城区五星佳苑1幢店面8号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余姚市城区五星佳苑1幢店面9号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5</w:t>
            </w: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余姚市城区五星佳苑6幢店面1、2号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228.31</w:t>
            </w:r>
          </w:p>
        </w:tc>
        <w:tc>
          <w:tcPr>
            <w:tcW w:w="121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54800</w:t>
            </w:r>
          </w:p>
        </w:tc>
        <w:tc>
          <w:tcPr>
            <w:tcW w:w="990"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余姚市城区五星佳苑6幢店面3、4号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余姚市城区五星佳苑6幢店面5、6号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余姚市城区五星佳苑6幢店面7、8号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6</w:t>
            </w: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余姚市城区五星佳苑14幢店面1、2号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89.53</w:t>
            </w:r>
          </w:p>
        </w:tc>
        <w:tc>
          <w:tcPr>
            <w:tcW w:w="121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21500</w:t>
            </w:r>
          </w:p>
        </w:tc>
        <w:tc>
          <w:tcPr>
            <w:tcW w:w="990" w:type="dxa"/>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7</w:t>
            </w: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余姚市城区五星佳苑15幢店面1号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228.47</w:t>
            </w:r>
          </w:p>
        </w:tc>
        <w:tc>
          <w:tcPr>
            <w:tcW w:w="121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54900</w:t>
            </w:r>
          </w:p>
        </w:tc>
        <w:tc>
          <w:tcPr>
            <w:tcW w:w="990"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余姚市城区五星佳苑15幢店面2号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余姚市城区五星佳苑15幢店面3、4、5号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8</w:t>
            </w: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余姚市城区五星佳苑16幢店面1号、2号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322.22</w:t>
            </w:r>
          </w:p>
        </w:tc>
        <w:tc>
          <w:tcPr>
            <w:tcW w:w="1215"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77400</w:t>
            </w:r>
          </w:p>
        </w:tc>
        <w:tc>
          <w:tcPr>
            <w:tcW w:w="990"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余姚市城区五星佳苑16幢店面3号、4号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余姚市城区五星佳苑16幢店面5号、6号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705" w:type="dxa"/>
            <w:vMerge w:val="restart"/>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w:t>
            </w: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余姚市城区五星佳苑17幢店面10号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restart"/>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324.58</w:t>
            </w:r>
          </w:p>
        </w:tc>
        <w:tc>
          <w:tcPr>
            <w:tcW w:w="1215" w:type="dxa"/>
            <w:vMerge w:val="restart"/>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77900</w:t>
            </w:r>
          </w:p>
        </w:tc>
        <w:tc>
          <w:tcPr>
            <w:tcW w:w="990"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余姚市城区五星佳苑17幢店面11号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余姚市城区五星佳苑17幢店面12号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余姚市城区五星佳苑17幢店面13号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w:t>
            </w: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余姚市城区五星佳苑20幢店面1号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restart"/>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793.59</w:t>
            </w:r>
          </w:p>
        </w:tc>
        <w:tc>
          <w:tcPr>
            <w:tcW w:w="1215" w:type="dxa"/>
            <w:vMerge w:val="restart"/>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190300</w:t>
            </w:r>
          </w:p>
        </w:tc>
        <w:tc>
          <w:tcPr>
            <w:tcW w:w="990"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57000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余姚市城区五星佳苑20幢店面2号、3号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余姚市城区五星佳苑20幢店面4号、5号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余姚市城区五星佳苑20幢店面6号、7号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余姚市城区五星佳苑20幢店面12号、13号、14号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余姚市城区五星佳苑20幢店面15号、16号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11</w:t>
            </w: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余姚市城区五星佳苑22幢店面1号、2号、3号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restart"/>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205.95</w:t>
            </w:r>
          </w:p>
        </w:tc>
        <w:tc>
          <w:tcPr>
            <w:tcW w:w="1215" w:type="dxa"/>
            <w:vMerge w:val="restart"/>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49500</w:t>
            </w:r>
          </w:p>
        </w:tc>
        <w:tc>
          <w:tcPr>
            <w:tcW w:w="990"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余姚市城区五星佳苑22幢店面4号、5号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12</w:t>
            </w: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余姚市城区五星佳苑24幢店面1号、2号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restart"/>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299.06</w:t>
            </w:r>
          </w:p>
        </w:tc>
        <w:tc>
          <w:tcPr>
            <w:tcW w:w="1215" w:type="dxa"/>
            <w:vMerge w:val="restart"/>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71800</w:t>
            </w:r>
          </w:p>
        </w:tc>
        <w:tc>
          <w:tcPr>
            <w:tcW w:w="990"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余姚市城区五星佳苑24幢店面3号、4号、5号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余姚市城区五星佳苑24幢店面6号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ascii="宋体" w:hAnsi="宋体" w:eastAsia="宋体" w:cs="宋体"/>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余姚市城区五星佳苑24幢店面7号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restart"/>
            <w:noWrap w:val="0"/>
            <w:vAlign w:val="center"/>
          </w:tcPr>
          <w:p>
            <w:pPr>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13</w:t>
            </w: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余姚市城区五星佳苑25幢店面1号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restart"/>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272.17</w:t>
            </w:r>
          </w:p>
        </w:tc>
        <w:tc>
          <w:tcPr>
            <w:tcW w:w="1215" w:type="dxa"/>
            <w:vMerge w:val="restart"/>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65300</w:t>
            </w:r>
          </w:p>
        </w:tc>
        <w:tc>
          <w:tcPr>
            <w:tcW w:w="990" w:type="dxa"/>
            <w:vMerge w:val="restart"/>
            <w:noWrap w:val="0"/>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余姚市城区五星佳苑25幢店面2号、3号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余姚市城区五星佳苑25幢店面4号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余姚市城区五星佳苑25幢店面5号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Merge w:val="continue"/>
            <w:noWrap w:val="0"/>
            <w:vAlign w:val="center"/>
          </w:tcPr>
          <w:p>
            <w:pPr>
              <w:jc w:val="center"/>
              <w:rPr>
                <w:rFonts w:hint="eastAsia"/>
                <w:sz w:val="24"/>
                <w:szCs w:val="24"/>
                <w:vertAlign w:val="baseline"/>
                <w:lang w:val="en-US" w:eastAsia="zh-CN"/>
              </w:rPr>
            </w:pPr>
          </w:p>
        </w:tc>
        <w:tc>
          <w:tcPr>
            <w:tcW w:w="460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余姚市城区五星佳苑25幢店面6号</w:t>
            </w:r>
          </w:p>
        </w:tc>
        <w:tc>
          <w:tcPr>
            <w:tcW w:w="72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商业</w:t>
            </w:r>
          </w:p>
        </w:tc>
        <w:tc>
          <w:tcPr>
            <w:tcW w:w="130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1215" w:type="dxa"/>
            <w:vMerge w:val="continue"/>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990" w:type="dxa"/>
            <w:vMerge w:val="continue"/>
            <w:noWrap w:val="0"/>
            <w:vAlign w:val="center"/>
          </w:tcPr>
          <w:p>
            <w:pPr>
              <w:jc w:val="center"/>
              <w:rPr>
                <w:rFonts w:hint="eastAsia"/>
                <w:sz w:val="24"/>
                <w:szCs w:val="24"/>
                <w:vertAlign w:val="baseline"/>
                <w:lang w:val="en-US" w:eastAsia="zh-CN"/>
              </w:rPr>
            </w:pPr>
          </w:p>
        </w:tc>
      </w:tr>
    </w:tbl>
    <w:p>
      <w:pPr>
        <w:jc w:val="center"/>
        <w:rPr>
          <w:rFonts w:hint="eastAsia"/>
          <w:b/>
          <w:bCs/>
          <w:sz w:val="21"/>
          <w:szCs w:val="21"/>
          <w:lang w:eastAsia="zh-CN"/>
        </w:rPr>
      </w:pPr>
    </w:p>
    <w:p>
      <w:pPr>
        <w:autoSpaceDE w:val="0"/>
        <w:spacing w:line="360" w:lineRule="auto"/>
        <w:rPr>
          <w:rFonts w:hint="eastAsia" w:ascii="宋体" w:hAnsi="宋体" w:eastAsia="宋体" w:cs="宋体"/>
          <w:b/>
          <w:bCs/>
          <w:sz w:val="24"/>
          <w:szCs w:val="24"/>
        </w:rPr>
      </w:pPr>
    </w:p>
    <w:p>
      <w:bookmarkStart w:id="0" w:name="_GoBack"/>
      <w:bookmarkEnd w:id="0"/>
    </w:p>
    <w:sectPr>
      <w:pgSz w:w="11906" w:h="16838"/>
      <w:pgMar w:top="1497" w:right="1684" w:bottom="1497" w:left="1684"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534E37"/>
    <w:multiLevelType w:val="singleLevel"/>
    <w:tmpl w:val="D4534E37"/>
    <w:lvl w:ilvl="0" w:tentative="0">
      <w:start w:val="12"/>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099206B0"/>
    <w:rsid w:val="09920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2023-04-28T00:31:00Z</dcterms:created>
  <dc:creator>WPS_1504238738</dc:creator>
  <cp:lastModifiedBy>WPS_1504238738</cp:lastModifiedBy>
  <dcterms:modified xsi:type="dcterms:W3CDTF">2023-04-28T00:31:59Z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2D3F90415BF34BE182686B5D33ABCF77_11</vt:lpwstr>
  </property>
</Properties>
</file>