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40" w:lineRule="exact"/>
        <w:ind w:left="357" w:leftChars="170" w:firstLine="1346" w:firstLineChars="641"/>
        <w:jc w:val="right"/>
        <w:textAlignment w:val="auto"/>
      </w:pPr>
      <w:bookmarkStart w:id="0" w:name="_GoBack"/>
      <w:bookmarkEnd w:id="0"/>
    </w:p>
    <w:p>
      <w:pPr>
        <w:spacing w:line="480" w:lineRule="exact"/>
        <w:ind w:firstLine="480" w:firstLineChars="200"/>
        <w:rPr>
          <w:rFonts w:hint="eastAsia"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附件：</w:t>
      </w:r>
    </w:p>
    <w:p>
      <w:pPr>
        <w:spacing w:line="480" w:lineRule="exact"/>
        <w:ind w:firstLine="482" w:firstLineChars="200"/>
        <w:rPr>
          <w:rFonts w:hint="eastAsia" w:ascii="宋体" w:hAnsi="宋体" w:eastAsia="宋体" w:cs="Times New Roman"/>
          <w:b/>
          <w:bCs w:val="0"/>
          <w:color w:val="000000"/>
          <w:kern w:val="0"/>
          <w:sz w:val="24"/>
          <w:lang w:val="en-US" w:eastAsia="zh-CN"/>
        </w:rPr>
      </w:pPr>
      <w:r>
        <w:rPr>
          <w:rFonts w:hint="eastAsia" w:ascii="宋体" w:hAnsi="宋体" w:eastAsia="宋体" w:cs="Times New Roman"/>
          <w:b/>
          <w:bCs w:val="0"/>
          <w:color w:val="000000"/>
          <w:kern w:val="0"/>
          <w:sz w:val="24"/>
          <w:lang w:val="en-US" w:eastAsia="zh-CN"/>
        </w:rPr>
        <w:t>一、标的股东结构</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4300"/>
        <w:gridCol w:w="2407"/>
        <w:gridCol w:w="1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240" w:firstLineChars="1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序号</w:t>
            </w:r>
          </w:p>
        </w:tc>
        <w:tc>
          <w:tcPr>
            <w:tcW w:w="4300" w:type="dxa"/>
            <w:vAlign w:val="center"/>
          </w:tcPr>
          <w:p>
            <w:pPr>
              <w:spacing w:line="480" w:lineRule="exact"/>
              <w:ind w:firstLine="1680" w:firstLineChars="7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股东名称</w:t>
            </w:r>
          </w:p>
        </w:tc>
        <w:tc>
          <w:tcPr>
            <w:tcW w:w="2407"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持股比例</w:t>
            </w:r>
          </w:p>
        </w:tc>
        <w:tc>
          <w:tcPr>
            <w:tcW w:w="1516"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1</w:t>
            </w:r>
          </w:p>
        </w:tc>
        <w:tc>
          <w:tcPr>
            <w:tcW w:w="4300"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余姚中国塑料城物流有限公司</w:t>
            </w:r>
          </w:p>
        </w:tc>
        <w:tc>
          <w:tcPr>
            <w:tcW w:w="2407" w:type="dxa"/>
            <w:vAlign w:val="center"/>
          </w:tcPr>
          <w:p>
            <w:pPr>
              <w:spacing w:line="480" w:lineRule="exact"/>
              <w:ind w:firstLine="720" w:firstLineChars="3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56.5%</w:t>
            </w:r>
          </w:p>
        </w:tc>
        <w:tc>
          <w:tcPr>
            <w:tcW w:w="1516" w:type="dxa"/>
            <w:vMerge w:val="restart"/>
            <w:vAlign w:val="center"/>
          </w:tcPr>
          <w:p>
            <w:pPr>
              <w:spacing w:line="480" w:lineRule="exact"/>
              <w:ind w:firstLine="240" w:firstLineChars="1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拍卖标的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2</w:t>
            </w:r>
          </w:p>
        </w:tc>
        <w:tc>
          <w:tcPr>
            <w:tcW w:w="4300"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余姚中国塑料城集团有限公司</w:t>
            </w:r>
          </w:p>
        </w:tc>
        <w:tc>
          <w:tcPr>
            <w:tcW w:w="2407" w:type="dxa"/>
            <w:vAlign w:val="center"/>
          </w:tcPr>
          <w:p>
            <w:pPr>
              <w:spacing w:line="480" w:lineRule="exact"/>
              <w:ind w:firstLine="960" w:firstLineChars="4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9%</w:t>
            </w:r>
          </w:p>
        </w:tc>
        <w:tc>
          <w:tcPr>
            <w:tcW w:w="1516" w:type="dxa"/>
            <w:vMerge w:val="continue"/>
            <w:vAlign w:val="center"/>
          </w:tcPr>
          <w:p>
            <w:pPr>
              <w:spacing w:line="480" w:lineRule="exact"/>
              <w:ind w:firstLine="480" w:firstLineChars="200"/>
              <w:rPr>
                <w:rFonts w:hint="default" w:ascii="宋体" w:hAnsi="宋体" w:eastAsia="宋体" w:cs="Times New Roman"/>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3</w:t>
            </w:r>
          </w:p>
        </w:tc>
        <w:tc>
          <w:tcPr>
            <w:tcW w:w="4300"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浙江网塑科技股份有限公司</w:t>
            </w:r>
          </w:p>
        </w:tc>
        <w:tc>
          <w:tcPr>
            <w:tcW w:w="2407" w:type="dxa"/>
            <w:vAlign w:val="center"/>
          </w:tcPr>
          <w:p>
            <w:pPr>
              <w:spacing w:line="480" w:lineRule="exact"/>
              <w:ind w:firstLine="960" w:firstLineChars="4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9%</w:t>
            </w:r>
          </w:p>
        </w:tc>
        <w:tc>
          <w:tcPr>
            <w:tcW w:w="1516"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4</w:t>
            </w:r>
          </w:p>
        </w:tc>
        <w:tc>
          <w:tcPr>
            <w:tcW w:w="4300"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宁波创屹投资合伙企业</w:t>
            </w:r>
          </w:p>
        </w:tc>
        <w:tc>
          <w:tcPr>
            <w:tcW w:w="2407" w:type="dxa"/>
            <w:vAlign w:val="center"/>
          </w:tcPr>
          <w:p>
            <w:pPr>
              <w:spacing w:line="480" w:lineRule="exact"/>
              <w:ind w:firstLine="960" w:firstLineChars="4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9%</w:t>
            </w:r>
          </w:p>
        </w:tc>
        <w:tc>
          <w:tcPr>
            <w:tcW w:w="1516"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5</w:t>
            </w:r>
          </w:p>
        </w:tc>
        <w:tc>
          <w:tcPr>
            <w:tcW w:w="4300"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宁波世贸投资控股有限公司</w:t>
            </w:r>
          </w:p>
        </w:tc>
        <w:tc>
          <w:tcPr>
            <w:tcW w:w="2407" w:type="dxa"/>
            <w:vAlign w:val="center"/>
          </w:tcPr>
          <w:p>
            <w:pPr>
              <w:spacing w:line="480" w:lineRule="exact"/>
              <w:ind w:firstLine="960" w:firstLineChars="4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9%</w:t>
            </w:r>
          </w:p>
        </w:tc>
        <w:tc>
          <w:tcPr>
            <w:tcW w:w="1516"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6</w:t>
            </w:r>
          </w:p>
        </w:tc>
        <w:tc>
          <w:tcPr>
            <w:tcW w:w="4300"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宁波立鸿投资合伙企业</w:t>
            </w:r>
          </w:p>
        </w:tc>
        <w:tc>
          <w:tcPr>
            <w:tcW w:w="2407" w:type="dxa"/>
            <w:vAlign w:val="center"/>
          </w:tcPr>
          <w:p>
            <w:pPr>
              <w:spacing w:line="480" w:lineRule="exact"/>
              <w:ind w:firstLine="720" w:firstLineChars="300"/>
              <w:rPr>
                <w:rFonts w:hint="default" w:ascii="宋体" w:hAnsi="宋体" w:eastAsia="宋体" w:cs="Times New Roman"/>
                <w:bCs/>
                <w:color w:val="000000"/>
                <w:kern w:val="0"/>
                <w:sz w:val="24"/>
                <w:lang w:val="en-US" w:eastAsia="zh-CN"/>
              </w:rPr>
            </w:pPr>
            <w:r>
              <w:rPr>
                <w:rFonts w:hint="eastAsia" w:ascii="宋体" w:hAnsi="宋体" w:eastAsia="宋体" w:cs="Times New Roman"/>
                <w:bCs/>
                <w:color w:val="000000"/>
                <w:kern w:val="0"/>
                <w:sz w:val="24"/>
                <w:lang w:val="en-US" w:eastAsia="zh-CN"/>
              </w:rPr>
              <w:t>7.5%</w:t>
            </w:r>
          </w:p>
        </w:tc>
        <w:tc>
          <w:tcPr>
            <w:tcW w:w="1516" w:type="dxa"/>
            <w:vAlign w:val="center"/>
          </w:tcPr>
          <w:p>
            <w:pPr>
              <w:spacing w:line="480" w:lineRule="exact"/>
              <w:ind w:firstLine="480" w:firstLineChars="200"/>
              <w:rPr>
                <w:rFonts w:hint="default" w:ascii="宋体" w:hAnsi="宋体" w:eastAsia="宋体" w:cs="Times New Roman"/>
                <w:bCs/>
                <w:color w:val="000000"/>
                <w:kern w:val="0"/>
                <w:sz w:val="24"/>
                <w:lang w:val="en-US" w:eastAsia="zh-CN"/>
              </w:rPr>
            </w:pPr>
          </w:p>
        </w:tc>
      </w:tr>
    </w:tbl>
    <w:p>
      <w:pPr>
        <w:spacing w:line="480" w:lineRule="exact"/>
        <w:ind w:firstLine="482" w:firstLineChars="200"/>
        <w:rPr>
          <w:rFonts w:hint="eastAsia" w:ascii="宋体" w:hAnsi="宋体" w:eastAsia="宋体" w:cs="Times New Roman"/>
          <w:b/>
          <w:bCs w:val="0"/>
          <w:color w:val="000000"/>
          <w:kern w:val="0"/>
          <w:sz w:val="24"/>
          <w:lang w:val="en-US" w:eastAsia="zh-CN"/>
        </w:rPr>
      </w:pPr>
      <w:r>
        <w:rPr>
          <w:rFonts w:hint="eastAsia" w:ascii="宋体" w:hAnsi="宋体" w:eastAsia="宋体" w:cs="Times New Roman"/>
          <w:b/>
          <w:bCs w:val="0"/>
          <w:color w:val="000000"/>
          <w:kern w:val="0"/>
          <w:sz w:val="24"/>
          <w:lang w:val="en-US" w:eastAsia="zh-CN"/>
        </w:rPr>
        <w:t>二、受让方资格条件：</w:t>
      </w:r>
    </w:p>
    <w:p>
      <w:pPr>
        <w:spacing w:line="480" w:lineRule="exact"/>
        <w:ind w:firstLine="480" w:firstLineChars="200"/>
        <w:rPr>
          <w:rFonts w:hint="eastAsia" w:ascii="宋体" w:hAnsi="宋体" w:eastAsia="宋体" w:cs="Times New Roman"/>
          <w:bCs/>
          <w:color w:val="000000"/>
          <w:kern w:val="0"/>
          <w:sz w:val="24"/>
        </w:rPr>
      </w:pPr>
      <w:r>
        <w:rPr>
          <w:rFonts w:hint="eastAsia" w:ascii="宋体" w:hAnsi="宋体" w:eastAsia="宋体" w:cs="Times New Roman"/>
          <w:bCs/>
          <w:color w:val="000000"/>
          <w:kern w:val="0"/>
          <w:sz w:val="24"/>
        </w:rPr>
        <w:t>1、竞买人须在中国境内注册且为有效存续的企业法人，实缴注册资本须符合中国人民银行关于本拍卖标的变更的相关规定，且须具备《非金融机构支付服务管理办法》所规定的主要出资人资格。</w:t>
      </w:r>
    </w:p>
    <w:p>
      <w:pPr>
        <w:spacing w:line="480" w:lineRule="exact"/>
        <w:ind w:firstLine="480" w:firstLineChars="200"/>
        <w:rPr>
          <w:rFonts w:hint="eastAsia" w:ascii="宋体" w:hAnsi="宋体" w:eastAsia="宋体" w:cs="Times New Roman"/>
          <w:bCs/>
          <w:color w:val="000000"/>
          <w:kern w:val="0"/>
          <w:sz w:val="24"/>
        </w:rPr>
      </w:pPr>
      <w:r>
        <w:rPr>
          <w:rFonts w:hint="eastAsia" w:ascii="宋体" w:hAnsi="宋体" w:eastAsia="宋体" w:cs="Times New Roman"/>
          <w:bCs/>
          <w:color w:val="000000"/>
          <w:kern w:val="0"/>
          <w:sz w:val="24"/>
        </w:rPr>
        <w:t>2、竞买人或其关联方已经在境内或境外证券交易市场完成首次公开发行并上市，且须单独参加竞买，不接受联合体报名。</w:t>
      </w:r>
    </w:p>
    <w:p>
      <w:pPr>
        <w:spacing w:line="480" w:lineRule="exact"/>
        <w:ind w:firstLine="480" w:firstLineChars="200"/>
        <w:rPr>
          <w:rFonts w:hint="eastAsia" w:ascii="宋体" w:hAnsi="宋体" w:eastAsia="宋体" w:cs="Times New Roman"/>
          <w:bCs/>
          <w:color w:val="000000"/>
          <w:kern w:val="0"/>
          <w:sz w:val="24"/>
        </w:rPr>
      </w:pPr>
      <w:r>
        <w:rPr>
          <w:rFonts w:hint="eastAsia" w:ascii="宋体" w:hAnsi="宋体" w:eastAsia="宋体" w:cs="Times New Roman"/>
          <w:bCs/>
          <w:color w:val="000000"/>
          <w:kern w:val="0"/>
          <w:sz w:val="24"/>
        </w:rPr>
        <w:t>3、竞买人须拥有丰富的互联网应用场景，从事相关互联网业务不少于5年，项目许可证应包含增值电信业务经营许可证、信息网络传播视听节目许可证、广播电视节目制作经营许可证、网络文化经营许可证、出版物经营许可证（含零售、批发）、营业性演出许可证、互联网药品信息服务资格证中的至少三项。</w:t>
      </w:r>
    </w:p>
    <w:p>
      <w:pPr>
        <w:spacing w:line="480" w:lineRule="exact"/>
        <w:ind w:firstLine="480" w:firstLineChars="200"/>
        <w:rPr>
          <w:rFonts w:hint="eastAsia" w:ascii="宋体" w:hAnsi="宋体" w:eastAsia="宋体" w:cs="Times New Roman"/>
          <w:bCs/>
          <w:color w:val="000000"/>
          <w:kern w:val="0"/>
          <w:sz w:val="24"/>
        </w:rPr>
      </w:pPr>
      <w:r>
        <w:rPr>
          <w:rFonts w:hint="eastAsia" w:ascii="宋体" w:hAnsi="宋体" w:eastAsia="宋体" w:cs="Times New Roman"/>
          <w:bCs/>
          <w:color w:val="000000"/>
          <w:kern w:val="0"/>
          <w:sz w:val="24"/>
        </w:rPr>
        <w:t>4、竞买人无其他国家有关法律法规禁止受让的情形。</w:t>
      </w:r>
    </w:p>
    <w:p>
      <w:pPr>
        <w:spacing w:line="480" w:lineRule="exact"/>
        <w:ind w:firstLine="482" w:firstLineChars="200"/>
        <w:rPr>
          <w:rFonts w:hint="eastAsia" w:ascii="宋体" w:hAnsi="宋体" w:eastAsia="宋体" w:cs="Times New Roman"/>
          <w:bCs/>
          <w:color w:val="000000"/>
          <w:kern w:val="0"/>
          <w:sz w:val="24"/>
        </w:rPr>
      </w:pPr>
      <w:r>
        <w:rPr>
          <w:rFonts w:hint="eastAsia" w:ascii="宋体" w:hAnsi="宋体" w:eastAsia="宋体" w:cs="Times New Roman"/>
          <w:b/>
          <w:bCs w:val="0"/>
          <w:color w:val="000000"/>
          <w:kern w:val="0"/>
          <w:sz w:val="24"/>
        </w:rPr>
        <w:t>注：</w:t>
      </w:r>
      <w:r>
        <w:rPr>
          <w:rFonts w:hint="eastAsia" w:ascii="宋体" w:hAnsi="宋体" w:eastAsia="宋体" w:cs="Times New Roman"/>
          <w:bCs/>
          <w:color w:val="000000"/>
          <w:kern w:val="0"/>
          <w:sz w:val="24"/>
        </w:rPr>
        <w:t>上述资格条件须在本项目预拍卖公告发布前已满足。报名前须前往委托人处进行前期资格审核并签订相关承诺书。</w:t>
      </w: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drawing>
          <wp:inline distT="0" distB="0" distL="114300" distR="114300">
            <wp:extent cx="5824855" cy="8074025"/>
            <wp:effectExtent l="0" t="0" r="4445" b="3175"/>
            <wp:docPr id="5" name="图片 5" descr="塑料城集团转让请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塑料城集团转让请示"/>
                    <pic:cNvPicPr>
                      <a:picLocks noChangeAspect="1"/>
                    </pic:cNvPicPr>
                  </pic:nvPicPr>
                  <pic:blipFill>
                    <a:blip r:embed="rId5"/>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drawing>
          <wp:inline distT="0" distB="0" distL="114300" distR="114300">
            <wp:extent cx="5824855" cy="8074025"/>
            <wp:effectExtent l="0" t="0" r="4445" b="3175"/>
            <wp:docPr id="6" name="图片 6" descr="塑料城集团转让请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塑料城集团转让请示2"/>
                    <pic:cNvPicPr>
                      <a:picLocks noChangeAspect="1"/>
                    </pic:cNvPicPr>
                  </pic:nvPicPr>
                  <pic:blipFill>
                    <a:blip r:embed="rId6"/>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eastAsia"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600" w:lineRule="exact"/>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drawing>
          <wp:inline distT="0" distB="0" distL="114300" distR="114300">
            <wp:extent cx="5824855" cy="8074025"/>
            <wp:effectExtent l="0" t="0" r="4445" b="3175"/>
            <wp:docPr id="7" name="图片 7" descr="塑料城物流转让请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塑料城物流转让请示"/>
                    <pic:cNvPicPr>
                      <a:picLocks noChangeAspect="1"/>
                    </pic:cNvPicPr>
                  </pic:nvPicPr>
                  <pic:blipFill>
                    <a:blip r:embed="rId7"/>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drawing>
          <wp:inline distT="0" distB="0" distL="114300" distR="114300">
            <wp:extent cx="5824855" cy="8074025"/>
            <wp:effectExtent l="0" t="0" r="4445" b="3175"/>
            <wp:docPr id="8" name="图片 8" descr="塑料城物流转让请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塑料城物流转让请示2"/>
                    <pic:cNvPicPr>
                      <a:picLocks noChangeAspect="1"/>
                    </pic:cNvPicPr>
                  </pic:nvPicPr>
                  <pic:blipFill>
                    <a:blip r:embed="rId8"/>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drawing>
          <wp:inline distT="0" distB="0" distL="114300" distR="114300">
            <wp:extent cx="5824855" cy="8074025"/>
            <wp:effectExtent l="0" t="0" r="4445" b="3175"/>
            <wp:docPr id="9" name="图片 9" descr="批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批复"/>
                    <pic:cNvPicPr>
                      <a:picLocks noChangeAspect="1"/>
                    </pic:cNvPicPr>
                  </pic:nvPicPr>
                  <pic:blipFill>
                    <a:blip r:embed="rId9"/>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drawing>
          <wp:inline distT="0" distB="0" distL="114300" distR="114300">
            <wp:extent cx="5824855" cy="8074025"/>
            <wp:effectExtent l="0" t="0" r="4445" b="3175"/>
            <wp:docPr id="10" name="图片 10" descr="批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批复2"/>
                    <pic:cNvPicPr>
                      <a:picLocks noChangeAspect="1"/>
                    </pic:cNvPicPr>
                  </pic:nvPicPr>
                  <pic:blipFill>
                    <a:blip r:embed="rId10"/>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drawing>
          <wp:inline distT="0" distB="0" distL="114300" distR="114300">
            <wp:extent cx="5824855" cy="8074025"/>
            <wp:effectExtent l="0" t="0" r="4445" b="3175"/>
            <wp:docPr id="11" name="图片 11" descr="评估报告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评估报告3"/>
                    <pic:cNvPicPr>
                      <a:picLocks noChangeAspect="1"/>
                    </pic:cNvPicPr>
                  </pic:nvPicPr>
                  <pic:blipFill>
                    <a:blip r:embed="rId11"/>
                    <a:stretch>
                      <a:fillRect/>
                    </a:stretch>
                  </pic:blipFill>
                  <pic:spPr>
                    <a:xfrm>
                      <a:off x="0" y="0"/>
                      <a:ext cx="5824855" cy="807402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spacing w:line="240" w:lineRule="auto"/>
        <w:ind w:left="630" w:leftChars="0"/>
        <w:jc w:val="both"/>
        <w:textAlignment w:val="auto"/>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drawing>
          <wp:inline distT="0" distB="0" distL="114300" distR="114300">
            <wp:extent cx="5824855" cy="8074025"/>
            <wp:effectExtent l="0" t="0" r="4445" b="3175"/>
            <wp:docPr id="12" name="图片 12" descr="评估报告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评估报告4"/>
                    <pic:cNvPicPr>
                      <a:picLocks noChangeAspect="1"/>
                    </pic:cNvPicPr>
                  </pic:nvPicPr>
                  <pic:blipFill>
                    <a:blip r:embed="rId12"/>
                    <a:stretch>
                      <a:fillRect/>
                    </a:stretch>
                  </pic:blipFill>
                  <pic:spPr>
                    <a:xfrm>
                      <a:off x="0" y="0"/>
                      <a:ext cx="5824855" cy="8074025"/>
                    </a:xfrm>
                    <a:prstGeom prst="rect">
                      <a:avLst/>
                    </a:prstGeom>
                  </pic:spPr>
                </pic:pic>
              </a:graphicData>
            </a:graphic>
          </wp:inline>
        </w:drawing>
      </w:r>
    </w:p>
    <w:sectPr>
      <w:headerReference r:id="rId3" w:type="default"/>
      <w:pgSz w:w="11906" w:h="16838"/>
      <w:pgMar w:top="1077" w:right="1466" w:bottom="1077" w:left="12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CA4"/>
    <w:rsid w:val="00454419"/>
    <w:rsid w:val="005E3CA4"/>
    <w:rsid w:val="00A15977"/>
    <w:rsid w:val="00FB4281"/>
    <w:rsid w:val="06594AFF"/>
    <w:rsid w:val="10194AA4"/>
    <w:rsid w:val="115F7E31"/>
    <w:rsid w:val="29FC6294"/>
    <w:rsid w:val="318F1494"/>
    <w:rsid w:val="35CA45DB"/>
    <w:rsid w:val="39137F19"/>
    <w:rsid w:val="3B347DA4"/>
    <w:rsid w:val="3C70044C"/>
    <w:rsid w:val="43CF1A94"/>
    <w:rsid w:val="4C9542BB"/>
    <w:rsid w:val="557B7C8B"/>
    <w:rsid w:val="631B2ACC"/>
    <w:rsid w:val="75FB3A33"/>
    <w:rsid w:val="7A912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105</Words>
  <Characters>600</Characters>
  <Lines>5</Lines>
  <Paragraphs>1</Paragraphs>
  <TotalTime>9</TotalTime>
  <ScaleCrop>false</ScaleCrop>
  <LinksUpToDate>false</LinksUpToDate>
  <CharactersWithSpaces>704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2021-08-18T06:38:00Z</dcterms:created>
  <dc:creator>n</dc:creator>
  <cp:lastModifiedBy>钱多多</cp:lastModifiedBy>
  <cp:lastPrinted>2021-09-16T02:06:00Z</cp:lastPrinted>
  <dcterms:modified xsi:type="dcterms:W3CDTF">2021-09-17T02:50:46Z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78EAB389F3774E3AB3538E8CA5FCE709</vt:lpwstr>
  </property>
</Properties>
</file>