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rPr>
          <w:rFonts w:ascii="方正姚体" w:eastAsia="方正姚体"/>
          <w:b/>
          <w:spacing w:val="-14"/>
          <w:sz w:val="84"/>
          <w:szCs w:val="84"/>
        </w:rPr>
      </w:pPr>
      <w:bookmarkStart w:id="0" w:name="_GoBack"/>
      <w:bookmarkEnd w:id="0"/>
      <w:r>
        <w:rPr>
          <w:rFonts w:hint="eastAsia" w:ascii="方正姚体" w:eastAsia="方正姚体"/>
          <w:b/>
          <w:spacing w:val="-14"/>
          <w:sz w:val="84"/>
          <w:szCs w:val="84"/>
        </w:rPr>
        <w:t>宁波亚德拍卖有限公司</w:t>
      </w:r>
    </w:p>
    <w:p>
      <w:pPr>
        <w:spacing w:line="600" w:lineRule="auto"/>
        <w:jc w:val="center"/>
        <w:rPr>
          <w:rFonts w:ascii="方正姚体" w:eastAsia="方正姚体"/>
          <w:b/>
          <w:spacing w:val="-14"/>
          <w:sz w:val="24"/>
        </w:rPr>
      </w:pPr>
    </w:p>
    <w:p>
      <w:pPr>
        <w:spacing w:line="600" w:lineRule="auto"/>
        <w:jc w:val="center"/>
        <w:rPr>
          <w:rFonts w:ascii="黑体" w:hAnsi="新宋体" w:eastAsia="黑体"/>
          <w:b/>
          <w:spacing w:val="46"/>
          <w:sz w:val="80"/>
          <w:szCs w:val="80"/>
        </w:rPr>
      </w:pPr>
      <w:r>
        <w:rPr>
          <w:rFonts w:hint="eastAsia" w:ascii="黑体" w:hAnsi="新宋体" w:eastAsia="黑体"/>
          <w:b/>
          <w:spacing w:val="46"/>
          <w:sz w:val="80"/>
          <w:szCs w:val="80"/>
        </w:rPr>
        <w:t xml:space="preserve">拍 </w:t>
      </w:r>
    </w:p>
    <w:p>
      <w:pPr>
        <w:spacing w:line="600" w:lineRule="auto"/>
        <w:jc w:val="center"/>
        <w:rPr>
          <w:rFonts w:ascii="黑体" w:hAnsi="新宋体" w:eastAsia="黑体"/>
          <w:b/>
          <w:spacing w:val="46"/>
          <w:sz w:val="80"/>
          <w:szCs w:val="80"/>
        </w:rPr>
      </w:pPr>
      <w:r>
        <w:rPr>
          <w:rFonts w:hint="eastAsia" w:ascii="黑体" w:hAnsi="新宋体" w:eastAsia="黑体"/>
          <w:b/>
          <w:spacing w:val="46"/>
          <w:sz w:val="80"/>
          <w:szCs w:val="80"/>
        </w:rPr>
        <w:t xml:space="preserve">卖 </w:t>
      </w:r>
    </w:p>
    <w:p>
      <w:pPr>
        <w:spacing w:line="600" w:lineRule="auto"/>
        <w:jc w:val="center"/>
        <w:rPr>
          <w:rFonts w:ascii="黑体" w:hAnsi="新宋体" w:eastAsia="黑体"/>
          <w:b/>
          <w:spacing w:val="46"/>
          <w:sz w:val="80"/>
          <w:szCs w:val="80"/>
        </w:rPr>
      </w:pPr>
      <w:r>
        <w:rPr>
          <w:rFonts w:hint="eastAsia" w:ascii="黑体" w:hAnsi="新宋体" w:eastAsia="黑体"/>
          <w:b/>
          <w:spacing w:val="46"/>
          <w:sz w:val="80"/>
          <w:szCs w:val="80"/>
        </w:rPr>
        <w:t>须</w:t>
      </w:r>
    </w:p>
    <w:p>
      <w:pPr>
        <w:spacing w:line="600" w:lineRule="auto"/>
        <w:jc w:val="center"/>
        <w:rPr>
          <w:rFonts w:ascii="黑体" w:hAnsi="新宋体" w:eastAsia="黑体"/>
          <w:b/>
          <w:spacing w:val="46"/>
          <w:sz w:val="80"/>
          <w:szCs w:val="80"/>
        </w:rPr>
      </w:pPr>
      <w:r>
        <w:rPr>
          <w:rFonts w:hint="eastAsia" w:ascii="黑体" w:hAnsi="新宋体" w:eastAsia="黑体"/>
          <w:b/>
          <w:spacing w:val="46"/>
          <w:sz w:val="80"/>
          <w:szCs w:val="80"/>
        </w:rPr>
        <w:t xml:space="preserve">知 </w:t>
      </w:r>
    </w:p>
    <w:p>
      <w:pPr>
        <w:spacing w:line="600" w:lineRule="auto"/>
        <w:jc w:val="center"/>
      </w:pPr>
    </w:p>
    <w:p>
      <w:pPr>
        <w:spacing w:line="600" w:lineRule="auto"/>
        <w:jc w:val="center"/>
      </w:pPr>
    </w:p>
    <w:p>
      <w:pPr>
        <w:spacing w:line="600" w:lineRule="auto"/>
        <w:ind w:firstLine="642" w:firstLineChars="200"/>
        <w:jc w:val="left"/>
        <w:rPr>
          <w:rFonts w:ascii="宋体"/>
          <w:b/>
          <w:bCs/>
          <w:spacing w:val="20"/>
          <w:sz w:val="28"/>
          <w:szCs w:val="28"/>
        </w:rPr>
      </w:pPr>
      <w:r>
        <w:rPr>
          <w:rFonts w:hint="eastAsia" w:ascii="宋体"/>
          <w:b/>
          <w:spacing w:val="20"/>
          <w:sz w:val="28"/>
          <w:szCs w:val="28"/>
        </w:rPr>
        <w:t>拍卖时间：2022年</w:t>
      </w:r>
      <w:r>
        <w:rPr>
          <w:rFonts w:hint="eastAsia" w:ascii="宋体"/>
          <w:b/>
          <w:spacing w:val="20"/>
          <w:sz w:val="28"/>
          <w:szCs w:val="28"/>
          <w:lang w:val="en-US" w:eastAsia="zh-CN"/>
        </w:rPr>
        <w:t>11</w:t>
      </w:r>
      <w:r>
        <w:rPr>
          <w:rFonts w:hint="eastAsia" w:ascii="宋体"/>
          <w:b/>
          <w:spacing w:val="20"/>
          <w:sz w:val="28"/>
          <w:szCs w:val="28"/>
        </w:rPr>
        <w:t>月</w:t>
      </w:r>
      <w:r>
        <w:rPr>
          <w:rFonts w:hint="eastAsia" w:ascii="宋体"/>
          <w:b/>
          <w:spacing w:val="20"/>
          <w:sz w:val="28"/>
          <w:szCs w:val="28"/>
          <w:lang w:val="en-US" w:eastAsia="zh-CN"/>
        </w:rPr>
        <w:t>11</w:t>
      </w:r>
      <w:r>
        <w:rPr>
          <w:rFonts w:hint="eastAsia" w:ascii="宋体"/>
          <w:b/>
          <w:spacing w:val="20"/>
          <w:sz w:val="28"/>
          <w:szCs w:val="28"/>
        </w:rPr>
        <w:t>日上午</w:t>
      </w:r>
      <w:r>
        <w:rPr>
          <w:rFonts w:hint="eastAsia" w:ascii="宋体" w:hAnsi="宋体" w:cs="宋体"/>
          <w:b/>
          <w:bCs/>
          <w:sz w:val="28"/>
          <w:szCs w:val="28"/>
        </w:rPr>
        <w:t>9:00—9:30（延时除外）</w:t>
      </w:r>
    </w:p>
    <w:p>
      <w:pPr>
        <w:tabs>
          <w:tab w:val="left" w:pos="1440"/>
          <w:tab w:val="left" w:pos="1620"/>
          <w:tab w:val="left" w:pos="1800"/>
        </w:tabs>
        <w:spacing w:line="600" w:lineRule="auto"/>
        <w:ind w:firstLine="642" w:firstLineChars="200"/>
        <w:jc w:val="left"/>
        <w:rPr>
          <w:rFonts w:ascii="宋体"/>
          <w:b/>
          <w:spacing w:val="20"/>
          <w:sz w:val="28"/>
          <w:szCs w:val="28"/>
        </w:rPr>
      </w:pPr>
      <w:r>
        <w:rPr>
          <w:rFonts w:hint="eastAsia" w:ascii="宋体"/>
          <w:b/>
          <w:spacing w:val="20"/>
          <w:sz w:val="28"/>
          <w:szCs w:val="28"/>
        </w:rPr>
        <w:t>拍卖地点：中拍平台</w:t>
      </w:r>
    </w:p>
    <w:p>
      <w:pPr>
        <w:tabs>
          <w:tab w:val="left" w:pos="1440"/>
          <w:tab w:val="left" w:pos="1620"/>
          <w:tab w:val="left" w:pos="1800"/>
        </w:tabs>
        <w:spacing w:line="600" w:lineRule="auto"/>
        <w:ind w:firstLine="562" w:firstLineChars="200"/>
        <w:jc w:val="left"/>
        <w:rPr>
          <w:rFonts w:ascii="宋体"/>
          <w:b/>
          <w:bCs/>
          <w:spacing w:val="20"/>
          <w:sz w:val="28"/>
          <w:szCs w:val="28"/>
        </w:rPr>
      </w:pPr>
      <w:r>
        <w:rPr>
          <w:rFonts w:hint="eastAsia" w:ascii="宋体" w:hAnsi="宋体" w:cs="宋体"/>
          <w:b/>
          <w:bCs/>
          <w:sz w:val="28"/>
          <w:szCs w:val="28"/>
        </w:rPr>
        <w:t>（网址：https://paimai.caa123.org.cn）</w:t>
      </w:r>
    </w:p>
    <w:p>
      <w:pPr>
        <w:spacing w:line="600" w:lineRule="auto"/>
        <w:ind w:firstLine="642" w:firstLineChars="200"/>
        <w:rPr>
          <w:rFonts w:ascii="宋体"/>
          <w:b/>
          <w:spacing w:val="30"/>
          <w:sz w:val="28"/>
          <w:szCs w:val="28"/>
        </w:rPr>
      </w:pPr>
      <w:r>
        <w:rPr>
          <w:rFonts w:hint="eastAsia" w:ascii="宋体"/>
          <w:b/>
          <w:spacing w:val="20"/>
          <w:sz w:val="28"/>
          <w:szCs w:val="28"/>
        </w:rPr>
        <w:t>咨询电话：</w:t>
      </w:r>
      <w:r>
        <w:rPr>
          <w:rFonts w:hint="eastAsia" w:ascii="宋体" w:hAnsi="宋体"/>
          <w:b/>
          <w:color w:val="000000"/>
          <w:kern w:val="0"/>
          <w:sz w:val="28"/>
          <w:szCs w:val="28"/>
        </w:rPr>
        <w:t xml:space="preserve">62723501  </w:t>
      </w:r>
      <w:r>
        <w:rPr>
          <w:rFonts w:hint="eastAsia" w:ascii="宋体"/>
          <w:b/>
          <w:spacing w:val="20"/>
          <w:sz w:val="28"/>
          <w:szCs w:val="28"/>
        </w:rPr>
        <w:t>86864950</w:t>
      </w:r>
    </w:p>
    <w:p>
      <w:pPr>
        <w:spacing w:line="600" w:lineRule="auto"/>
        <w:ind w:firstLine="642" w:firstLineChars="200"/>
        <w:jc w:val="left"/>
        <w:rPr>
          <w:rFonts w:ascii="宋体"/>
          <w:b/>
          <w:spacing w:val="20"/>
          <w:sz w:val="28"/>
          <w:szCs w:val="28"/>
        </w:rPr>
      </w:pPr>
      <w:r>
        <w:rPr>
          <w:rFonts w:hint="eastAsia" w:ascii="宋体"/>
          <w:b/>
          <w:spacing w:val="20"/>
          <w:sz w:val="28"/>
          <w:szCs w:val="28"/>
        </w:rPr>
        <w:t>公司地址：宁波市北仑区新大路755号新锋商务楼三楼</w:t>
      </w:r>
    </w:p>
    <w:p>
      <w:pPr>
        <w:ind w:firstLine="642" w:firstLineChars="200"/>
        <w:rPr>
          <w:rFonts w:ascii="宋体" w:hAnsi="宋体"/>
          <w:b/>
          <w:sz w:val="44"/>
          <w:szCs w:val="44"/>
        </w:rPr>
      </w:pPr>
      <w:r>
        <w:rPr>
          <w:rFonts w:hint="eastAsia" w:ascii="宋体"/>
          <w:b/>
          <w:spacing w:val="20"/>
          <w:sz w:val="28"/>
          <w:szCs w:val="28"/>
        </w:rPr>
        <w:t>公司网址:</w:t>
      </w:r>
      <w:r>
        <w:fldChar w:fldCharType="begin"/>
      </w:r>
      <w:r>
        <w:instrText xml:space="preserve"> HYPERLINK "http://www.nbyade.com" </w:instrText>
      </w:r>
      <w:r>
        <w:fldChar w:fldCharType="separate"/>
      </w:r>
      <w:r>
        <w:rPr>
          <w:rStyle w:val="8"/>
          <w:rFonts w:hint="eastAsia" w:ascii="宋体" w:hAnsi="宋体"/>
          <w:b/>
          <w:spacing w:val="44"/>
          <w:sz w:val="28"/>
          <w:szCs w:val="28"/>
        </w:rPr>
        <w:t>www.nbyade.com</w:t>
      </w:r>
      <w:r>
        <w:rPr>
          <w:rStyle w:val="8"/>
          <w:rFonts w:hint="eastAsia" w:ascii="宋体" w:hAnsi="宋体"/>
          <w:b/>
          <w:spacing w:val="44"/>
          <w:sz w:val="28"/>
          <w:szCs w:val="28"/>
        </w:rPr>
        <w:fldChar w:fldCharType="end"/>
      </w:r>
    </w:p>
    <w:p>
      <w:pPr>
        <w:spacing w:line="480" w:lineRule="exact"/>
        <w:jc w:val="center"/>
        <w:rPr>
          <w:rFonts w:ascii="宋体" w:hAnsi="宋体"/>
          <w:b/>
          <w:sz w:val="44"/>
          <w:szCs w:val="44"/>
        </w:rPr>
      </w:pPr>
      <w:r>
        <w:rPr>
          <w:rFonts w:hint="eastAsia" w:ascii="宋体" w:hAnsi="宋体"/>
          <w:b/>
          <w:sz w:val="44"/>
          <w:szCs w:val="44"/>
        </w:rPr>
        <w:t>拍  卖  须  知</w:t>
      </w:r>
    </w:p>
    <w:p>
      <w:pPr>
        <w:jc w:val="center"/>
        <w:rPr>
          <w:rFonts w:ascii="宋体" w:hAnsi="宋体"/>
          <w:b/>
          <w:szCs w:val="21"/>
        </w:rPr>
      </w:pPr>
    </w:p>
    <w:p>
      <w:pPr>
        <w:keepNext w:val="0"/>
        <w:keepLines w:val="0"/>
        <w:pageBreakBefore w:val="0"/>
        <w:numPr>
          <w:ilvl w:val="0"/>
          <w:numId w:val="1"/>
        </w:numPr>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为规范网络拍卖竞买行为，依据《中华人民共和国拍卖法》和相关法律法规的规定制定本拍卖须知，参加网络拍卖会的竞买人须仔细阅读和遵守本公司《拍卖须知》及中国拍卖行业协会网络平台(以下简称“中拍平台”)《中国拍卖行业协会网络拍卖规则》。</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第二条  本次拍卖活动计价货币为人民币，拍卖标的起拍价、成交价均不含标的物经营过程中所发生的全部税、费等相关费用。</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第三条  按照法律规定，委托人有权在拍卖前中止、暂停、撤回拍卖，若出现上述情况，</w:t>
      </w:r>
      <w:r>
        <w:rPr>
          <w:rFonts w:hint="eastAsia" w:ascii="宋体" w:hAnsi="宋体" w:eastAsia="宋体" w:cs="宋体"/>
          <w:sz w:val="24"/>
          <w:szCs w:val="24"/>
          <w:highlight w:val="none"/>
        </w:rPr>
        <w:t>竞买人交付的竞买保证金按银行同期活期存款利率计息退还，</w:t>
      </w:r>
      <w:r>
        <w:rPr>
          <w:rFonts w:hint="eastAsia" w:ascii="宋体" w:hAnsi="宋体" w:eastAsia="宋体" w:cs="宋体"/>
          <w:sz w:val="24"/>
          <w:szCs w:val="24"/>
        </w:rPr>
        <w:t>拍卖公司不承担赔偿责任。</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第四条  拍卖公司对拍卖标的用任何方式所作的内容介绍及评价，均可能有不确切之处，仅作参考意见，并未表示任何担保。因此，竞买人应仔细察看拍卖标的及相关资料，慎重决定竞价行为，并对其行为承担法律责任。</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第五条  如网络拍卖出现技术故障导致无法正常举行，则将暂停拍卖，等网络恢复后另行通知。</w:t>
      </w:r>
    </w:p>
    <w:p>
      <w:pPr>
        <w:keepNext w:val="0"/>
        <w:keepLines w:val="0"/>
        <w:pageBreakBefore w:val="0"/>
        <w:kinsoku/>
        <w:overflowPunct/>
        <w:topLinePunct w:val="0"/>
        <w:bidi w:val="0"/>
        <w:spacing w:line="536"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第六条  拍卖标的：</w:t>
      </w:r>
    </w:p>
    <w:tbl>
      <w:tblPr>
        <w:tblStyle w:val="6"/>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930"/>
        <w:gridCol w:w="1134"/>
        <w:gridCol w:w="1134"/>
        <w:gridCol w:w="949"/>
        <w:gridCol w:w="1130"/>
        <w:gridCol w:w="1159"/>
        <w:gridCol w:w="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标的号</w:t>
            </w:r>
          </w:p>
        </w:tc>
        <w:tc>
          <w:tcPr>
            <w:tcW w:w="19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坐落</w:t>
            </w:r>
          </w:p>
        </w:tc>
        <w:tc>
          <w:tcPr>
            <w:tcW w:w="1134"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出租房屋面积（m</w:t>
            </w:r>
            <w:r>
              <w:rPr>
                <w:rFonts w:hint="eastAsia" w:ascii="宋体" w:hAnsi="宋体" w:eastAsia="宋体" w:cs="宋体"/>
                <w:bCs/>
                <w:color w:val="000000"/>
                <w:kern w:val="0"/>
                <w:sz w:val="24"/>
                <w:szCs w:val="24"/>
                <w:vertAlign w:val="superscript"/>
              </w:rPr>
              <w:t>2</w:t>
            </w:r>
            <w:r>
              <w:rPr>
                <w:rFonts w:hint="eastAsia" w:ascii="宋体" w:hAnsi="宋体" w:eastAsia="宋体" w:cs="宋体"/>
                <w:bCs/>
                <w:color w:val="000000"/>
                <w:kern w:val="0"/>
                <w:sz w:val="24"/>
                <w:szCs w:val="24"/>
              </w:rPr>
              <w:t>）</w:t>
            </w:r>
          </w:p>
        </w:tc>
        <w:tc>
          <w:tcPr>
            <w:tcW w:w="1134" w:type="dxa"/>
            <w:noWrap/>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出租土地面积（m</w:t>
            </w:r>
            <w:r>
              <w:rPr>
                <w:rFonts w:hint="eastAsia" w:ascii="宋体" w:hAnsi="宋体" w:eastAsia="宋体" w:cs="宋体"/>
                <w:bCs/>
                <w:color w:val="000000"/>
                <w:kern w:val="0"/>
                <w:sz w:val="24"/>
                <w:szCs w:val="24"/>
                <w:vertAlign w:val="superscript"/>
              </w:rPr>
              <w:t>2</w:t>
            </w:r>
            <w:r>
              <w:rPr>
                <w:rFonts w:hint="eastAsia" w:ascii="宋体" w:hAnsi="宋体" w:eastAsia="宋体" w:cs="宋体"/>
                <w:bCs/>
                <w:color w:val="000000"/>
                <w:kern w:val="0"/>
                <w:sz w:val="24"/>
                <w:szCs w:val="24"/>
              </w:rPr>
              <w:t>）</w:t>
            </w:r>
          </w:p>
        </w:tc>
        <w:tc>
          <w:tcPr>
            <w:tcW w:w="94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出租年限（年）</w:t>
            </w:r>
          </w:p>
        </w:tc>
        <w:tc>
          <w:tcPr>
            <w:tcW w:w="11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起拍价（元</w:t>
            </w:r>
            <w:r>
              <w:rPr>
                <w:rFonts w:hint="eastAsia" w:ascii="宋体" w:hAnsi="宋体" w:eastAsia="宋体" w:cs="宋体"/>
                <w:bCs/>
                <w:color w:val="000000"/>
                <w:kern w:val="0"/>
                <w:sz w:val="24"/>
                <w:szCs w:val="24"/>
                <w:lang w:val="en-US" w:eastAsia="zh-CN"/>
              </w:rPr>
              <w:t>/年</w:t>
            </w:r>
            <w:r>
              <w:rPr>
                <w:rFonts w:hint="eastAsia" w:ascii="宋体" w:hAnsi="宋体" w:eastAsia="宋体" w:cs="宋体"/>
                <w:bCs/>
                <w:color w:val="000000"/>
                <w:kern w:val="0"/>
                <w:sz w:val="24"/>
                <w:szCs w:val="24"/>
              </w:rPr>
              <w:t>）</w:t>
            </w:r>
          </w:p>
        </w:tc>
        <w:tc>
          <w:tcPr>
            <w:tcW w:w="115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竞买保证金（元）</w:t>
            </w:r>
          </w:p>
        </w:tc>
        <w:tc>
          <w:tcPr>
            <w:tcW w:w="832"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1</w:t>
            </w:r>
          </w:p>
        </w:tc>
        <w:tc>
          <w:tcPr>
            <w:tcW w:w="19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textAlignment w:val="auto"/>
              <w:rPr>
                <w:rFonts w:hint="eastAsia" w:ascii="宋体" w:hAnsi="宋体" w:eastAsia="宋体" w:cs="宋体"/>
                <w:bCs/>
                <w:color w:val="000000"/>
                <w:kern w:val="0"/>
                <w:sz w:val="24"/>
                <w:szCs w:val="24"/>
              </w:rPr>
            </w:pPr>
            <w:r>
              <w:rPr>
                <w:rFonts w:hint="eastAsia" w:ascii="宋体" w:hAnsi="宋体" w:eastAsia="宋体" w:cs="宋体"/>
                <w:sz w:val="24"/>
                <w:szCs w:val="24"/>
              </w:rPr>
              <w:t>余姚市新西门路79号</w:t>
            </w:r>
          </w:p>
        </w:tc>
        <w:tc>
          <w:tcPr>
            <w:tcW w:w="1134"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ind w:firstLine="240" w:firstLineChars="100"/>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334</w:t>
            </w:r>
          </w:p>
        </w:tc>
        <w:tc>
          <w:tcPr>
            <w:tcW w:w="1134"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549.73</w:t>
            </w:r>
          </w:p>
        </w:tc>
        <w:tc>
          <w:tcPr>
            <w:tcW w:w="94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5</w:t>
            </w:r>
          </w:p>
        </w:tc>
        <w:tc>
          <w:tcPr>
            <w:tcW w:w="11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112800</w:t>
            </w:r>
          </w:p>
        </w:tc>
        <w:tc>
          <w:tcPr>
            <w:tcW w:w="115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28000</w:t>
            </w:r>
          </w:p>
        </w:tc>
        <w:tc>
          <w:tcPr>
            <w:tcW w:w="832"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sz w:val="24"/>
                <w:szCs w:val="24"/>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2</w:t>
            </w:r>
          </w:p>
        </w:tc>
        <w:tc>
          <w:tcPr>
            <w:tcW w:w="19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sz w:val="24"/>
                <w:szCs w:val="24"/>
              </w:rPr>
              <w:t>余姚市低塘公建路20号</w:t>
            </w:r>
          </w:p>
        </w:tc>
        <w:tc>
          <w:tcPr>
            <w:tcW w:w="1134"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124.58</w:t>
            </w:r>
          </w:p>
        </w:tc>
        <w:tc>
          <w:tcPr>
            <w:tcW w:w="1134"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454.33</w:t>
            </w:r>
          </w:p>
        </w:tc>
        <w:tc>
          <w:tcPr>
            <w:tcW w:w="94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w:t>
            </w:r>
          </w:p>
        </w:tc>
        <w:tc>
          <w:tcPr>
            <w:tcW w:w="11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33700</w:t>
            </w:r>
          </w:p>
        </w:tc>
        <w:tc>
          <w:tcPr>
            <w:tcW w:w="115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8000</w:t>
            </w:r>
          </w:p>
        </w:tc>
        <w:tc>
          <w:tcPr>
            <w:tcW w:w="832"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w:t>
            </w:r>
          </w:p>
        </w:tc>
        <w:tc>
          <w:tcPr>
            <w:tcW w:w="19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left"/>
              <w:textAlignment w:val="auto"/>
              <w:rPr>
                <w:rFonts w:hint="eastAsia" w:ascii="宋体" w:hAnsi="宋体" w:eastAsia="宋体" w:cs="宋体"/>
                <w:bCs/>
                <w:color w:val="000000"/>
                <w:kern w:val="0"/>
                <w:sz w:val="24"/>
                <w:szCs w:val="24"/>
              </w:rPr>
            </w:pPr>
            <w:r>
              <w:rPr>
                <w:rFonts w:hint="eastAsia" w:ascii="宋体" w:hAnsi="宋体" w:eastAsia="宋体" w:cs="宋体"/>
                <w:sz w:val="24"/>
                <w:szCs w:val="24"/>
              </w:rPr>
              <w:t>余姚市郁浪浦村</w:t>
            </w:r>
          </w:p>
        </w:tc>
        <w:tc>
          <w:tcPr>
            <w:tcW w:w="2268" w:type="dxa"/>
            <w:gridSpan w:val="2"/>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4063.5</w:t>
            </w:r>
          </w:p>
        </w:tc>
        <w:tc>
          <w:tcPr>
            <w:tcW w:w="94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w:t>
            </w:r>
          </w:p>
        </w:tc>
        <w:tc>
          <w:tcPr>
            <w:tcW w:w="1130"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76700</w:t>
            </w:r>
          </w:p>
        </w:tc>
        <w:tc>
          <w:tcPr>
            <w:tcW w:w="1159" w:type="dxa"/>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20000</w:t>
            </w:r>
          </w:p>
        </w:tc>
        <w:tc>
          <w:tcPr>
            <w:tcW w:w="832"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476" w:lineRule="exact"/>
              <w:jc w:val="center"/>
              <w:textAlignment w:val="auto"/>
              <w:rPr>
                <w:rFonts w:hint="eastAsia" w:ascii="宋体" w:hAnsi="宋体" w:eastAsia="宋体" w:cs="宋体"/>
                <w:bCs/>
                <w:color w:val="000000"/>
                <w:kern w:val="0"/>
                <w:sz w:val="24"/>
                <w:szCs w:val="24"/>
              </w:rPr>
            </w:pPr>
          </w:p>
        </w:tc>
      </w:tr>
    </w:tbl>
    <w:p>
      <w:pPr>
        <w:keepNext w:val="0"/>
        <w:keepLines w:val="0"/>
        <w:pageBreakBefore w:val="0"/>
        <w:widowControl w:val="0"/>
        <w:kinsoku/>
        <w:wordWrap/>
        <w:overflowPunct/>
        <w:topLinePunct w:val="0"/>
        <w:autoSpaceDE/>
        <w:autoSpaceDN/>
        <w:bidi w:val="0"/>
        <w:adjustRightInd/>
        <w:snapToGrid/>
        <w:spacing w:line="476" w:lineRule="exact"/>
        <w:jc w:val="left"/>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竞买人条件：</w:t>
      </w:r>
      <w:r>
        <w:rPr>
          <w:rFonts w:hint="eastAsia" w:ascii="宋体" w:hAnsi="宋体" w:eastAsia="宋体" w:cs="宋体"/>
          <w:b/>
          <w:bCs/>
          <w:color w:val="000000"/>
          <w:kern w:val="0"/>
          <w:sz w:val="24"/>
          <w:szCs w:val="24"/>
        </w:rPr>
        <w:t>具有完全民事行为能力的自然人、法人或其他组织均可报名参加</w:t>
      </w:r>
      <w:r>
        <w:rPr>
          <w:rFonts w:hint="eastAsia" w:ascii="宋体" w:hAnsi="宋体" w:eastAsia="宋体" w:cs="宋体"/>
          <w:b/>
          <w:color w:val="000000"/>
          <w:sz w:val="24"/>
          <w:szCs w:val="24"/>
        </w:rPr>
        <w:t xml:space="preserve">。            </w:t>
      </w:r>
    </w:p>
    <w:p>
      <w:pPr>
        <w:keepNext w:val="0"/>
        <w:keepLines w:val="0"/>
        <w:pageBreakBefore w:val="0"/>
        <w:kinsoku/>
        <w:overflowPunct/>
        <w:topLinePunct w:val="0"/>
        <w:autoSpaceDE w:val="0"/>
        <w:autoSpaceDN w:val="0"/>
        <w:bidi w:val="0"/>
        <w:adjustRightInd w:val="0"/>
        <w:spacing w:line="536"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color w:val="000000"/>
          <w:sz w:val="24"/>
          <w:szCs w:val="24"/>
        </w:rPr>
        <w:t xml:space="preserve">第七条  </w:t>
      </w:r>
      <w:r>
        <w:rPr>
          <w:rFonts w:hint="eastAsia" w:ascii="宋体" w:hAnsi="宋体" w:eastAsia="宋体" w:cs="宋体"/>
          <w:b/>
          <w:bCs/>
          <w:sz w:val="24"/>
          <w:szCs w:val="24"/>
        </w:rPr>
        <w:t>标的物特别说明：</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highlight w:val="green"/>
        </w:rPr>
      </w:pPr>
      <w:r>
        <w:rPr>
          <w:rFonts w:hint="eastAsia" w:ascii="宋体" w:hAnsi="宋体" w:eastAsia="宋体" w:cs="宋体"/>
          <w:sz w:val="24"/>
          <w:szCs w:val="24"/>
        </w:rPr>
        <w:t xml:space="preserve"> 1、本次拍卖会为房屋、土地租赁权拍卖，按现状进行租赁；</w:t>
      </w:r>
      <w:r>
        <w:rPr>
          <w:rFonts w:hint="eastAsia" w:ascii="宋体" w:hAnsi="宋体" w:eastAsia="宋体" w:cs="宋体"/>
          <w:kern w:val="0"/>
          <w:sz w:val="24"/>
          <w:szCs w:val="24"/>
        </w:rPr>
        <w:t>具体以现状为准</w:t>
      </w:r>
      <w:r>
        <w:rPr>
          <w:rFonts w:hint="eastAsia" w:ascii="宋体" w:hAnsi="宋体" w:eastAsia="宋体" w:cs="宋体"/>
          <w:kern w:val="0"/>
          <w:sz w:val="24"/>
          <w:szCs w:val="24"/>
          <w:lang w:eastAsia="zh-CN"/>
        </w:rPr>
        <w:t>。</w:t>
      </w:r>
      <w:r>
        <w:rPr>
          <w:rFonts w:hint="eastAsia" w:ascii="宋体" w:hAnsi="宋体" w:eastAsia="宋体" w:cs="宋体"/>
          <w:sz w:val="24"/>
          <w:szCs w:val="24"/>
          <w:highlight w:val="none"/>
        </w:rPr>
        <w:t>注:郁浪浦</w:t>
      </w:r>
      <w:r>
        <w:rPr>
          <w:rFonts w:hint="eastAsia" w:ascii="宋体" w:hAnsi="宋体" w:eastAsia="宋体" w:cs="宋体"/>
          <w:sz w:val="24"/>
          <w:szCs w:val="24"/>
          <w:highlight w:val="none"/>
          <w:lang w:val="en-US" w:eastAsia="zh-CN"/>
        </w:rPr>
        <w:t>地块内</w:t>
      </w:r>
      <w:r>
        <w:rPr>
          <w:rFonts w:hint="eastAsia" w:ascii="宋体" w:hAnsi="宋体" w:eastAsia="宋体" w:cs="宋体"/>
          <w:sz w:val="24"/>
          <w:szCs w:val="24"/>
          <w:highlight w:val="none"/>
        </w:rPr>
        <w:t>房屋不在出租范围内，不得使用</w:t>
      </w:r>
      <w:r>
        <w:rPr>
          <w:rFonts w:hint="eastAsia" w:ascii="宋体" w:hAnsi="宋体" w:eastAsia="宋体" w:cs="宋体"/>
          <w:sz w:val="24"/>
          <w:szCs w:val="24"/>
          <w:highlight w:val="none"/>
          <w:lang w:eastAsia="zh-CN"/>
        </w:rPr>
        <w:t>。委托人</w:t>
      </w:r>
      <w:r>
        <w:rPr>
          <w:rFonts w:hint="eastAsia" w:ascii="宋体" w:hAnsi="宋体" w:eastAsia="宋体" w:cs="宋体"/>
          <w:sz w:val="24"/>
          <w:szCs w:val="24"/>
          <w:highlight w:val="none"/>
        </w:rPr>
        <w:t>已经</w:t>
      </w:r>
      <w:r>
        <w:rPr>
          <w:rFonts w:hint="eastAsia" w:ascii="宋体" w:hAnsi="宋体" w:eastAsia="宋体" w:cs="宋体"/>
          <w:sz w:val="24"/>
          <w:szCs w:val="24"/>
          <w:highlight w:val="none"/>
          <w:lang w:eastAsia="zh-CN"/>
        </w:rPr>
        <w:t>圈定出租范围</w:t>
      </w:r>
      <w:r>
        <w:rPr>
          <w:rFonts w:hint="eastAsia" w:ascii="宋体" w:hAnsi="宋体" w:eastAsia="宋体" w:cs="宋体"/>
          <w:sz w:val="24"/>
          <w:szCs w:val="24"/>
          <w:highlight w:val="none"/>
        </w:rPr>
        <w:t>。</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bCs/>
          <w:color w:val="000000"/>
          <w:sz w:val="24"/>
          <w:szCs w:val="24"/>
        </w:rPr>
      </w:pPr>
      <w:r>
        <w:rPr>
          <w:rFonts w:hint="eastAsia" w:ascii="宋体" w:hAnsi="宋体" w:eastAsia="宋体" w:cs="宋体"/>
          <w:sz w:val="24"/>
          <w:szCs w:val="24"/>
        </w:rPr>
        <w:t>2、签订租赁合同时由买受人(承租人，下同）向委托人交纳履约保证金分为：新西门路79号20000元，公建路20号6000元，郁浪浦土地15000元。履约保证金收取后，委托人应向买受人开具收款凭证。待租赁期届满或合同解除时，租赁双方无纠纷，由委托人一次性退还（</w:t>
      </w:r>
      <w:r>
        <w:rPr>
          <w:rFonts w:hint="eastAsia" w:ascii="宋体" w:hAnsi="宋体" w:eastAsia="宋体" w:cs="宋体"/>
          <w:bCs/>
          <w:color w:val="000000"/>
          <w:sz w:val="24"/>
          <w:szCs w:val="24"/>
        </w:rPr>
        <w:t>按交款当日的银行同期活期存款利率计息）。</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在租赁期内，如遇买受人拖欠租金等违约情形时，委托人有权从履约保证金中扣除相应费用，如遇履约保证金不足时，买受人应及时补足（接委托人通知后在3日内补足），否则委托人有权终止合同且不予退还履约保证金。</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本次房屋、土地租赁必须符合法律法规等相关规定，证照手续等买受人须自行向相关部门申请办理，买受人在使用期间涉及的各项税、费（包括但不限于水、电、天燃气、通信、有线电视等开户与日常使用费用）均由买受人自行承担，与委托人无涉。</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买受人应严格按照有关部门管理要求做好消防、环保、安全、卫生等相关工作，因工作措施不到位而产生责任事故的，该事故责任及经济损失（包括第三方的经济责任）由买受人承担，给委托人造成损失的，委托人有权从履约保证金中予以扣除。</w:t>
      </w:r>
    </w:p>
    <w:p>
      <w:pPr>
        <w:keepNext w:val="0"/>
        <w:keepLines w:val="0"/>
        <w:pageBreakBefore w:val="0"/>
        <w:tabs>
          <w:tab w:val="left" w:pos="1995"/>
        </w:tabs>
        <w:kinsoku/>
        <w:overflowPunct/>
        <w:topLinePunct w:val="0"/>
        <w:bidi w:val="0"/>
        <w:spacing w:line="536"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6、未经委托人书面同意，买受人不得擅自改变标的用途，确需调整的，须征得委托人书面同意并报请相关部门批准后方可实施。</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7、买受人不得在标的上任意搭建固定建筑物构筑物；不得利用标的进行非法活动，或损害公共利益或者他人利益。</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8、买受人需对标的进行水电设施安装的，由此产生的费用和责任均由买受人承担，租赁合同终止（或解除）买受人搬离标的时不得拆除前述的水电设施，且委托人不作任何补偿。</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9、未经委托人书面同意，买受人不得擅自将标的转租、转借或以其他方式变相转租；如遇特殊情况确需进行退租的，则买受人须提前</w:t>
      </w:r>
      <w:r>
        <w:rPr>
          <w:rFonts w:hint="eastAsia" w:ascii="宋体" w:hAnsi="宋体" w:eastAsia="宋体" w:cs="宋体"/>
          <w:color w:val="000000"/>
          <w:sz w:val="24"/>
          <w:szCs w:val="24"/>
        </w:rPr>
        <w:t>2</w:t>
      </w:r>
      <w:r>
        <w:rPr>
          <w:rFonts w:hint="eastAsia" w:ascii="宋体" w:hAnsi="宋体" w:eastAsia="宋体" w:cs="宋体"/>
          <w:sz w:val="24"/>
          <w:szCs w:val="24"/>
        </w:rPr>
        <w:t>个月向委托人提出书面申请，经委托人同意后，方可办理退租手续。</w:t>
      </w:r>
    </w:p>
    <w:p>
      <w:pPr>
        <w:keepNext w:val="0"/>
        <w:keepLines w:val="0"/>
        <w:pageBreakBefore w:val="0"/>
        <w:widowControl/>
        <w:kinsoku/>
        <w:overflowPunct/>
        <w:topLinePunct w:val="0"/>
        <w:bidi w:val="0"/>
        <w:spacing w:line="536" w:lineRule="exact"/>
        <w:ind w:firstLine="360" w:firstLineChars="150"/>
        <w:jc w:val="left"/>
        <w:textAlignment w:val="auto"/>
        <w:rPr>
          <w:rFonts w:hint="eastAsia" w:ascii="宋体" w:hAnsi="宋体" w:eastAsia="宋体" w:cs="宋体"/>
          <w:kern w:val="0"/>
          <w:sz w:val="24"/>
          <w:szCs w:val="24"/>
        </w:rPr>
      </w:pPr>
      <w:r>
        <w:rPr>
          <w:rFonts w:hint="eastAsia" w:ascii="宋体" w:hAnsi="宋体" w:eastAsia="宋体" w:cs="宋体"/>
          <w:sz w:val="24"/>
          <w:szCs w:val="24"/>
        </w:rPr>
        <w:t>10、</w:t>
      </w:r>
      <w:r>
        <w:rPr>
          <w:rFonts w:hint="eastAsia" w:ascii="宋体" w:hAnsi="宋体" w:eastAsia="宋体" w:cs="宋体"/>
          <w:kern w:val="0"/>
          <w:sz w:val="24"/>
          <w:szCs w:val="24"/>
        </w:rPr>
        <w:t>租赁期届满或合同解除时，</w:t>
      </w:r>
      <w:r>
        <w:rPr>
          <w:rFonts w:hint="eastAsia" w:ascii="宋体" w:hAnsi="宋体" w:eastAsia="宋体" w:cs="宋体"/>
          <w:sz w:val="24"/>
          <w:szCs w:val="24"/>
        </w:rPr>
        <w:t>买受人</w:t>
      </w:r>
      <w:r>
        <w:rPr>
          <w:rFonts w:hint="eastAsia" w:ascii="宋体" w:hAnsi="宋体" w:eastAsia="宋体" w:cs="宋体"/>
          <w:kern w:val="0"/>
          <w:sz w:val="24"/>
          <w:szCs w:val="24"/>
        </w:rPr>
        <w:t>返还标的物时应当符合正常使用后的状态。返还时，应经委托人验收认可，并互相结清各自应当承担的费用。</w:t>
      </w:r>
      <w:r>
        <w:rPr>
          <w:rFonts w:hint="eastAsia" w:ascii="宋体" w:hAnsi="宋体" w:eastAsia="宋体" w:cs="宋体"/>
          <w:sz w:val="24"/>
          <w:szCs w:val="24"/>
        </w:rPr>
        <w:t>买受人</w:t>
      </w:r>
      <w:r>
        <w:rPr>
          <w:rFonts w:hint="eastAsia" w:ascii="宋体" w:hAnsi="宋体" w:eastAsia="宋体" w:cs="宋体"/>
          <w:kern w:val="0"/>
          <w:sz w:val="24"/>
          <w:szCs w:val="24"/>
        </w:rPr>
        <w:t>有权将投资的动产自行处理，固定装饰物（指装饰在固定建筑物上，与建筑物不可分离的部分）</w:t>
      </w:r>
      <w:r>
        <w:rPr>
          <w:rFonts w:hint="eastAsia" w:ascii="宋体" w:hAnsi="宋体" w:eastAsia="宋体" w:cs="宋体"/>
          <w:sz w:val="24"/>
          <w:szCs w:val="24"/>
        </w:rPr>
        <w:t>买受人</w:t>
      </w:r>
      <w:r>
        <w:rPr>
          <w:rFonts w:hint="eastAsia" w:ascii="宋体" w:hAnsi="宋体" w:eastAsia="宋体" w:cs="宋体"/>
          <w:kern w:val="0"/>
          <w:sz w:val="24"/>
          <w:szCs w:val="24"/>
        </w:rPr>
        <w:t>不得拆除，且委托人不作任何经济补偿。</w:t>
      </w:r>
      <w:r>
        <w:rPr>
          <w:rFonts w:hint="eastAsia" w:ascii="宋体" w:hAnsi="宋体" w:eastAsia="宋体" w:cs="宋体"/>
          <w:sz w:val="24"/>
          <w:szCs w:val="24"/>
        </w:rPr>
        <w:t>买受人</w:t>
      </w:r>
      <w:r>
        <w:rPr>
          <w:rFonts w:hint="eastAsia" w:ascii="宋体" w:hAnsi="宋体" w:eastAsia="宋体" w:cs="宋体"/>
          <w:kern w:val="0"/>
          <w:sz w:val="24"/>
          <w:szCs w:val="24"/>
        </w:rPr>
        <w:t>需在合同期满或合同提前解除后10日以内搬迁，如逾期未搬的，委托人有权以废弃物予以处理。</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11、拍卖成交后拍卖人只出具拍卖佣金发票，其他相关票据由委托人提供。</w:t>
      </w:r>
    </w:p>
    <w:p>
      <w:pPr>
        <w:keepNext w:val="0"/>
        <w:keepLines w:val="0"/>
        <w:pageBreakBefore w:val="0"/>
        <w:kinsoku/>
        <w:overflowPunct/>
        <w:topLinePunct w:val="0"/>
        <w:bidi w:val="0"/>
        <w:spacing w:line="536" w:lineRule="exact"/>
        <w:ind w:firstLine="470" w:firstLineChars="196"/>
        <w:textAlignment w:val="auto"/>
        <w:rPr>
          <w:rFonts w:hint="eastAsia" w:ascii="宋体" w:hAnsi="宋体" w:eastAsia="宋体" w:cs="宋体"/>
          <w:sz w:val="24"/>
          <w:szCs w:val="24"/>
        </w:rPr>
      </w:pPr>
      <w:r>
        <w:rPr>
          <w:rFonts w:hint="eastAsia" w:ascii="宋体" w:hAnsi="宋体" w:eastAsia="宋体" w:cs="宋体"/>
          <w:kern w:val="0"/>
          <w:sz w:val="24"/>
          <w:szCs w:val="24"/>
        </w:rPr>
        <w:t>12、标的权利瑕疵以委托人提供的相关资料为准，对标的其他未发现的瑕疵本公司不能保证。</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第八条 报名手续：</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中拍平台为本场拍卖活动指定的网络竞价平台。有意参加的竞买人在公告规定期限内凭本人身份证或其他有效证件（企业或其他组织凭营业执照（组织机构代码证）、法定代表人身份证等）在中拍平台注册竞买人账号，并交纳竞买保证金，取得竞买资格，本公司声明不提供统一竞价场所和竞价工具。</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参与网络拍卖会的竞买人只能对应一个账号（用户名）。此账号（用户名）仅供竞买人本人使用，凡使用竞买人的账号（用户名）和密码登陆后进行的操作，均视为该竞买人的行为，竞买人应当对以其账户（用户名）进行的所有行为承担法律责任。</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b/>
          <w:bCs/>
          <w:sz w:val="24"/>
          <w:szCs w:val="24"/>
        </w:rPr>
      </w:pPr>
      <w:r>
        <w:rPr>
          <w:rFonts w:hint="eastAsia" w:ascii="宋体" w:hAnsi="宋体" w:eastAsia="宋体" w:cs="宋体"/>
          <w:sz w:val="24"/>
          <w:szCs w:val="24"/>
        </w:rPr>
        <w:t>3、竞买人不应将其账号（用户名）、密码转让或出借给他人使用。如竞买人发现其账号（用户名）遭他人非法使用，应立即通知我公司。因黑客行为或用户过失导致账号（用户名）、密码遭他人非法使用，我公司不承担任何责任。</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第九条  拍卖方式：</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1、本次拍卖会由国家注册拍卖师主持，并遵循“公开、公平、公正、诚实信用”和价高者得的原则，通过中拍平台采用网络增价拍卖方式进行自由竞价。</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keepNext w:val="0"/>
        <w:keepLines w:val="0"/>
        <w:pageBreakBefore w:val="0"/>
        <w:kinsoku/>
        <w:overflowPunct/>
        <w:topLinePunct w:val="0"/>
        <w:bidi w:val="0"/>
        <w:spacing w:line="536" w:lineRule="exact"/>
        <w:ind w:firstLine="472" w:firstLineChars="196"/>
        <w:textAlignment w:val="auto"/>
        <w:rPr>
          <w:rFonts w:hint="eastAsia" w:ascii="宋体" w:hAnsi="宋体" w:eastAsia="宋体" w:cs="宋体"/>
          <w:bCs/>
          <w:color w:val="000000"/>
          <w:sz w:val="24"/>
          <w:szCs w:val="24"/>
        </w:rPr>
      </w:pPr>
      <w:r>
        <w:rPr>
          <w:rFonts w:hint="eastAsia" w:ascii="宋体" w:hAnsi="宋体" w:eastAsia="宋体" w:cs="宋体"/>
          <w:b/>
          <w:bCs/>
          <w:sz w:val="24"/>
          <w:szCs w:val="24"/>
        </w:rPr>
        <w:t>第十条  拍卖成交后相关事宜：</w:t>
      </w:r>
      <w:r>
        <w:rPr>
          <w:rFonts w:hint="eastAsia" w:ascii="宋体" w:hAnsi="宋体" w:eastAsia="宋体" w:cs="宋体"/>
          <w:bCs/>
          <w:color w:val="000000"/>
          <w:sz w:val="24"/>
          <w:szCs w:val="24"/>
        </w:rPr>
        <w:t>拍卖会结束后，由拍卖人当日向买受人发放《拍卖成交确认书》。买受人须在成交当日下午4点前到</w:t>
      </w:r>
      <w:r>
        <w:rPr>
          <w:rFonts w:hint="eastAsia" w:ascii="宋体" w:hAnsi="宋体" w:eastAsia="宋体" w:cs="宋体"/>
          <w:bCs/>
          <w:color w:val="000000"/>
          <w:kern w:val="0"/>
          <w:sz w:val="24"/>
          <w:szCs w:val="24"/>
        </w:rPr>
        <w:t>余姚市东旱门北路6号</w:t>
      </w:r>
      <w:r>
        <w:rPr>
          <w:rFonts w:hint="eastAsia" w:ascii="宋体" w:hAnsi="宋体" w:eastAsia="宋体" w:cs="宋体"/>
          <w:bCs/>
          <w:color w:val="000000"/>
          <w:sz w:val="24"/>
          <w:szCs w:val="24"/>
        </w:rPr>
        <w:t>处签署《拍卖成交确认书》等相关资料，未竞得拍卖标的的竞买人，拍卖人在拍卖会结束后的3个工作日内将拍卖保证金按交款当日的银行同期活期存款利率计息退还，买受人的竞买保证金凭《租赁合同》复印件到拍卖人处退还（按交款当日的银行同期活期存款利率计息）。如未收到竞买保证金的，请及时与拍卖人联系（0574-86867055）。</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第十一条  付款期限及签约时间:</w:t>
      </w:r>
    </w:p>
    <w:p>
      <w:pPr>
        <w:keepNext w:val="0"/>
        <w:keepLines w:val="0"/>
        <w:pageBreakBefore w:val="0"/>
        <w:kinsoku/>
        <w:wordWrap w:val="0"/>
        <w:overflowPunct/>
        <w:topLinePunct w:val="0"/>
        <w:bidi w:val="0"/>
        <w:adjustRightInd w:val="0"/>
        <w:snapToGrid w:val="0"/>
        <w:spacing w:line="536" w:lineRule="exact"/>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bCs/>
          <w:color w:val="000000"/>
          <w:sz w:val="24"/>
          <w:szCs w:val="24"/>
        </w:rPr>
        <w:t>1、买受人必须</w:t>
      </w:r>
      <w:r>
        <w:rPr>
          <w:rFonts w:hint="eastAsia" w:ascii="宋体" w:hAnsi="宋体" w:eastAsia="宋体" w:cs="宋体"/>
          <w:color w:val="000000"/>
          <w:kern w:val="0"/>
          <w:sz w:val="24"/>
          <w:szCs w:val="24"/>
        </w:rPr>
        <w:t>在2022年</w:t>
      </w: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15</w:t>
      </w:r>
      <w:r>
        <w:rPr>
          <w:rFonts w:hint="eastAsia" w:ascii="宋体" w:hAnsi="宋体" w:eastAsia="宋体" w:cs="宋体"/>
          <w:color w:val="000000"/>
          <w:kern w:val="0"/>
          <w:sz w:val="24"/>
          <w:szCs w:val="24"/>
        </w:rPr>
        <w:t>日下午4时前</w:t>
      </w:r>
      <w:r>
        <w:rPr>
          <w:rFonts w:hint="eastAsia" w:ascii="宋体" w:hAnsi="宋体" w:eastAsia="宋体" w:cs="宋体"/>
          <w:bCs/>
          <w:sz w:val="24"/>
          <w:szCs w:val="24"/>
        </w:rPr>
        <w:t>将首年租金和履约保证金一次性直接付至委托人账户，</w:t>
      </w:r>
      <w:r>
        <w:rPr>
          <w:rFonts w:hint="eastAsia" w:ascii="宋体" w:hAnsi="宋体" w:eastAsia="宋体" w:cs="宋体"/>
          <w:color w:val="000000"/>
          <w:kern w:val="0"/>
          <w:sz w:val="24"/>
          <w:szCs w:val="24"/>
        </w:rPr>
        <w:t>并签订《</w:t>
      </w:r>
      <w:r>
        <w:rPr>
          <w:rFonts w:hint="eastAsia" w:ascii="宋体" w:hAnsi="宋体" w:eastAsia="宋体" w:cs="宋体"/>
          <w:sz w:val="24"/>
          <w:szCs w:val="24"/>
        </w:rPr>
        <w:t>租赁合同</w:t>
      </w:r>
      <w:r>
        <w:rPr>
          <w:rFonts w:hint="eastAsia" w:ascii="宋体" w:hAnsi="宋体" w:eastAsia="宋体" w:cs="宋体"/>
          <w:color w:val="000000"/>
          <w:kern w:val="0"/>
          <w:sz w:val="24"/>
          <w:szCs w:val="24"/>
        </w:rPr>
        <w:t>》；同时由买受人支付拍卖佣金</w:t>
      </w:r>
      <w:r>
        <w:rPr>
          <w:rFonts w:hint="eastAsia" w:ascii="宋体" w:hAnsi="宋体" w:eastAsia="宋体" w:cs="宋体"/>
          <w:sz w:val="24"/>
          <w:szCs w:val="24"/>
        </w:rPr>
        <w:t>，标的1收取</w:t>
      </w:r>
      <w:r>
        <w:rPr>
          <w:rFonts w:hint="eastAsia" w:ascii="宋体" w:hAnsi="宋体" w:eastAsia="宋体" w:cs="宋体"/>
          <w:sz w:val="24"/>
          <w:szCs w:val="24"/>
          <w:u w:val="single"/>
        </w:rPr>
        <w:t>3032</w:t>
      </w:r>
      <w:r>
        <w:rPr>
          <w:rFonts w:hint="eastAsia" w:ascii="宋体" w:hAnsi="宋体" w:eastAsia="宋体" w:cs="宋体"/>
          <w:sz w:val="24"/>
          <w:szCs w:val="24"/>
        </w:rPr>
        <w:t>元；标的2收取</w:t>
      </w:r>
      <w:r>
        <w:rPr>
          <w:rFonts w:hint="eastAsia" w:ascii="宋体" w:hAnsi="宋体" w:eastAsia="宋体" w:cs="宋体"/>
          <w:sz w:val="24"/>
          <w:szCs w:val="24"/>
          <w:u w:val="single"/>
        </w:rPr>
        <w:t>906</w:t>
      </w:r>
      <w:r>
        <w:rPr>
          <w:rFonts w:hint="eastAsia" w:ascii="宋体" w:hAnsi="宋体" w:eastAsia="宋体" w:cs="宋体"/>
          <w:sz w:val="24"/>
          <w:szCs w:val="24"/>
        </w:rPr>
        <w:t>元；标的3收取</w:t>
      </w:r>
      <w:r>
        <w:rPr>
          <w:rFonts w:hint="eastAsia" w:ascii="宋体" w:hAnsi="宋体" w:eastAsia="宋体" w:cs="宋体"/>
          <w:sz w:val="24"/>
          <w:szCs w:val="24"/>
          <w:u w:val="single"/>
        </w:rPr>
        <w:t>2062</w:t>
      </w:r>
      <w:r>
        <w:rPr>
          <w:rFonts w:hint="eastAsia" w:ascii="宋体" w:hAnsi="宋体" w:eastAsia="宋体" w:cs="宋体"/>
          <w:sz w:val="24"/>
          <w:szCs w:val="24"/>
        </w:rPr>
        <w:t>元。</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户名：宁波舜农集团有限公司</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开户行：中国工商银行股份有限公司余姚分行</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账号：3901310009001017108；以银行到账为准。</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3、拍卖佣金于2022年</w:t>
      </w:r>
      <w:r>
        <w:rPr>
          <w:rFonts w:hint="eastAsia" w:ascii="宋体" w:hAnsi="宋体" w:eastAsia="宋体" w:cs="宋体"/>
          <w:sz w:val="24"/>
          <w:szCs w:val="24"/>
          <w:lang w:val="en-US" w:eastAsia="zh-CN"/>
        </w:rPr>
        <w:t>11</w:t>
      </w:r>
      <w:r>
        <w:rPr>
          <w:rFonts w:hint="eastAsia" w:ascii="宋体" w:hAnsi="宋体" w:eastAsia="宋体" w:cs="宋体"/>
          <w:sz w:val="24"/>
          <w:szCs w:val="24"/>
        </w:rPr>
        <w:t>月</w:t>
      </w:r>
      <w:r>
        <w:rPr>
          <w:rFonts w:hint="eastAsia" w:ascii="宋体" w:hAnsi="宋体" w:eastAsia="宋体" w:cs="宋体"/>
          <w:sz w:val="24"/>
          <w:szCs w:val="24"/>
          <w:lang w:val="en-US" w:eastAsia="zh-CN"/>
        </w:rPr>
        <w:t>15</w:t>
      </w:r>
      <w:r>
        <w:rPr>
          <w:rFonts w:hint="eastAsia" w:ascii="宋体" w:hAnsi="宋体" w:eastAsia="宋体" w:cs="宋体"/>
          <w:sz w:val="24"/>
          <w:szCs w:val="24"/>
        </w:rPr>
        <w:t>日</w:t>
      </w:r>
      <w:r>
        <w:rPr>
          <w:rFonts w:hint="eastAsia" w:ascii="宋体" w:hAnsi="宋体" w:eastAsia="宋体" w:cs="宋体"/>
          <w:sz w:val="24"/>
          <w:szCs w:val="24"/>
          <w:lang w:eastAsia="zh-CN"/>
        </w:rPr>
        <w:t>下午</w:t>
      </w:r>
      <w:r>
        <w:rPr>
          <w:rFonts w:hint="eastAsia" w:ascii="宋体" w:hAnsi="宋体" w:eastAsia="宋体" w:cs="宋体"/>
          <w:sz w:val="24"/>
          <w:szCs w:val="24"/>
          <w:lang w:val="en-US" w:eastAsia="zh-CN"/>
        </w:rPr>
        <w:t>4时</w:t>
      </w:r>
      <w:r>
        <w:rPr>
          <w:rFonts w:hint="eastAsia" w:ascii="宋体" w:hAnsi="宋体" w:eastAsia="宋体" w:cs="宋体"/>
          <w:sz w:val="24"/>
          <w:szCs w:val="24"/>
        </w:rPr>
        <w:t>前汇入拍卖人账户（</w:t>
      </w:r>
      <w:r>
        <w:rPr>
          <w:rFonts w:hint="eastAsia" w:ascii="宋体" w:hAnsi="宋体" w:eastAsia="宋体" w:cs="宋体"/>
          <w:bCs/>
          <w:sz w:val="24"/>
          <w:szCs w:val="24"/>
        </w:rPr>
        <w:t>户名：宁波亚德拍卖有限公司；开户行：农业银行宁波塘湾支行；账号：39308001040002674</w:t>
      </w:r>
      <w:r>
        <w:rPr>
          <w:rFonts w:hint="eastAsia" w:ascii="宋体" w:hAnsi="宋体" w:eastAsia="宋体" w:cs="宋体"/>
          <w:sz w:val="24"/>
          <w:szCs w:val="24"/>
        </w:rPr>
        <w:t>）。</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4、拍卖成交后平台将收取相应软件使用费即系统成交价金额的1.5‰(千分之一点五）。软件使用费缴纳期限为订单生成之日起（成交之日起）的3日内，买受人在自己的拍卖后台点击支付，若买受人未支付该笔软件服务费的，拍卖人则不予办理拍卖成交相关手续。</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5、逾期付款或拒签《拍卖成交确认书》的按违约处理，买受人缴纳的保证金作为合同违约金不予退还，并按照《拍卖法》第39条规定向买受人追偿违约责任。</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第十二条 标的实物交割手续：</w:t>
      </w:r>
      <w:r>
        <w:rPr>
          <w:rFonts w:hint="eastAsia" w:ascii="宋体" w:hAnsi="宋体" w:eastAsia="宋体" w:cs="宋体"/>
          <w:bCs/>
          <w:sz w:val="24"/>
          <w:szCs w:val="24"/>
        </w:rPr>
        <w:t>买受人</w:t>
      </w:r>
      <w:r>
        <w:rPr>
          <w:rFonts w:hint="eastAsia" w:ascii="宋体" w:hAnsi="宋体" w:eastAsia="宋体" w:cs="宋体"/>
          <w:sz w:val="24"/>
          <w:szCs w:val="24"/>
        </w:rPr>
        <w:t>按规定期限付清款项后，凭拍卖成交确认书与委托人签订</w:t>
      </w:r>
      <w:r>
        <w:rPr>
          <w:rFonts w:hint="eastAsia" w:ascii="宋体" w:hAnsi="宋体" w:eastAsia="宋体" w:cs="宋体"/>
          <w:color w:val="000000"/>
          <w:kern w:val="0"/>
          <w:sz w:val="24"/>
          <w:szCs w:val="24"/>
        </w:rPr>
        <w:t>《</w:t>
      </w:r>
      <w:r>
        <w:rPr>
          <w:rFonts w:hint="eastAsia" w:ascii="宋体" w:hAnsi="宋体" w:eastAsia="宋体" w:cs="宋体"/>
          <w:sz w:val="24"/>
          <w:szCs w:val="24"/>
        </w:rPr>
        <w:t>租赁合同</w:t>
      </w:r>
      <w:r>
        <w:rPr>
          <w:rFonts w:hint="eastAsia" w:ascii="宋体" w:hAnsi="宋体" w:eastAsia="宋体" w:cs="宋体"/>
          <w:color w:val="000000"/>
          <w:kern w:val="0"/>
          <w:sz w:val="24"/>
          <w:szCs w:val="24"/>
        </w:rPr>
        <w:t>》</w:t>
      </w:r>
      <w:r>
        <w:rPr>
          <w:rFonts w:hint="eastAsia" w:ascii="宋体" w:hAnsi="宋体" w:eastAsia="宋体" w:cs="宋体"/>
          <w:sz w:val="24"/>
          <w:szCs w:val="24"/>
        </w:rPr>
        <w:t>，租赁标的由委托人移交至买受人；</w:t>
      </w:r>
      <w:r>
        <w:rPr>
          <w:rFonts w:hint="eastAsia" w:ascii="宋体" w:hAnsi="宋体" w:eastAsia="宋体" w:cs="宋体"/>
          <w:color w:val="000000"/>
          <w:kern w:val="0"/>
          <w:sz w:val="24"/>
          <w:szCs w:val="24"/>
        </w:rPr>
        <w:t>《</w:t>
      </w:r>
      <w:r>
        <w:rPr>
          <w:rFonts w:hint="eastAsia" w:ascii="宋体" w:hAnsi="宋体" w:eastAsia="宋体" w:cs="宋体"/>
          <w:sz w:val="24"/>
          <w:szCs w:val="24"/>
        </w:rPr>
        <w:t>租赁合同</w:t>
      </w:r>
      <w:r>
        <w:rPr>
          <w:rFonts w:hint="eastAsia" w:ascii="宋体" w:hAnsi="宋体" w:eastAsia="宋体" w:cs="宋体"/>
          <w:color w:val="000000"/>
          <w:kern w:val="0"/>
          <w:sz w:val="24"/>
          <w:szCs w:val="24"/>
        </w:rPr>
        <w:t>》</w:t>
      </w:r>
      <w:r>
        <w:rPr>
          <w:rFonts w:hint="eastAsia" w:ascii="宋体" w:hAnsi="宋体" w:eastAsia="宋体" w:cs="宋体"/>
          <w:sz w:val="24"/>
          <w:szCs w:val="24"/>
        </w:rPr>
        <w:t>签订日期及交付准确时间由委托人另行确定。</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 xml:space="preserve">第十三条  </w:t>
      </w:r>
      <w:r>
        <w:rPr>
          <w:rFonts w:hint="eastAsia" w:ascii="宋体" w:hAnsi="宋体" w:eastAsia="宋体" w:cs="宋体"/>
          <w:b/>
          <w:bCs/>
          <w:color w:val="000000"/>
          <w:sz w:val="24"/>
          <w:szCs w:val="24"/>
        </w:rPr>
        <w:t>拍卖结果公告：</w:t>
      </w:r>
      <w:r>
        <w:rPr>
          <w:rFonts w:hint="eastAsia" w:ascii="宋体" w:hAnsi="宋体" w:eastAsia="宋体" w:cs="宋体"/>
          <w:color w:val="000000"/>
          <w:kern w:val="0"/>
          <w:sz w:val="24"/>
          <w:szCs w:val="24"/>
        </w:rPr>
        <w:t>《</w:t>
      </w:r>
      <w:r>
        <w:rPr>
          <w:rFonts w:hint="eastAsia" w:ascii="宋体" w:hAnsi="宋体" w:eastAsia="宋体" w:cs="宋体"/>
          <w:sz w:val="24"/>
          <w:szCs w:val="24"/>
        </w:rPr>
        <w:t>租赁合同</w:t>
      </w:r>
      <w:r>
        <w:rPr>
          <w:rFonts w:hint="eastAsia" w:ascii="宋体" w:hAnsi="宋体" w:eastAsia="宋体" w:cs="宋体"/>
          <w:color w:val="000000"/>
          <w:kern w:val="0"/>
          <w:sz w:val="24"/>
          <w:szCs w:val="24"/>
        </w:rPr>
        <w:t>》</w:t>
      </w:r>
      <w:r>
        <w:rPr>
          <w:rFonts w:hint="eastAsia" w:ascii="宋体" w:hAnsi="宋体" w:eastAsia="宋体" w:cs="宋体"/>
          <w:bCs/>
          <w:color w:val="000000"/>
          <w:sz w:val="24"/>
          <w:szCs w:val="24"/>
        </w:rPr>
        <w:t>生效后的2个工作日内，由拍卖人将交易结果在宁波市公共资源交易网余姚分网公告5个工作日。</w:t>
      </w:r>
    </w:p>
    <w:p>
      <w:pPr>
        <w:keepNext w:val="0"/>
        <w:keepLines w:val="0"/>
        <w:pageBreakBefore w:val="0"/>
        <w:kinsoku/>
        <w:overflowPunct/>
        <w:topLinePunct w:val="0"/>
        <w:bidi w:val="0"/>
        <w:spacing w:line="536"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第十四条 法律责任：</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1、买受人如有下列违约情况，拍卖人可自买受人违约之日起单方面无条件收回标的，竞买保证金作为合同违约金不予退还，同时买受人应承担《拍卖法》第39条规定的相关责任。</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⑴ 买受人未在规定时间内与拍卖人签署《拍卖成交确认书》和办理成交确认手续的。</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⑵ 买受人不能按时支付拍卖成交价款，经催讨依然无法付清的。</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⑶ 买受人不按本《拍卖须知》规定履行相关义务而造成违约的。</w:t>
      </w:r>
    </w:p>
    <w:p>
      <w:pPr>
        <w:keepNext w:val="0"/>
        <w:keepLines w:val="0"/>
        <w:pageBreakBefore w:val="0"/>
        <w:kinsoku/>
        <w:overflowPunct/>
        <w:topLinePunct w:val="0"/>
        <w:bidi w:val="0"/>
        <w:spacing w:line="536" w:lineRule="exact"/>
        <w:ind w:firstLine="723" w:firstLineChars="300"/>
        <w:textAlignment w:val="auto"/>
        <w:rPr>
          <w:rFonts w:hint="eastAsia" w:ascii="宋体" w:hAnsi="宋体" w:eastAsia="宋体" w:cs="宋体"/>
          <w:b/>
          <w:bCs/>
          <w:sz w:val="24"/>
          <w:szCs w:val="24"/>
        </w:rPr>
      </w:pPr>
      <w:r>
        <w:rPr>
          <w:rFonts w:hint="eastAsia" w:ascii="宋体" w:hAnsi="宋体" w:eastAsia="宋体" w:cs="宋体"/>
          <w:b/>
          <w:bCs/>
          <w:sz w:val="24"/>
          <w:szCs w:val="24"/>
        </w:rPr>
        <w:t>本条款的效力独立于本合同的效力，不因本合同无效而失效。</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2、报名参拍的买受人均已对竞买的标的完全了解并愿意承担相应的法律责任，不得以此为由拒付拍卖成交款及其他款项。拍卖公司和委托人对瑕疵不作任何承诺和担保。</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第十五条  本次拍卖程序的合法性由本拍卖公司负责。</w:t>
      </w:r>
    </w:p>
    <w:p>
      <w:pPr>
        <w:keepNext w:val="0"/>
        <w:keepLines w:val="0"/>
        <w:pageBreakBefore w:val="0"/>
        <w:kinsoku/>
        <w:overflowPunct/>
        <w:topLinePunct w:val="0"/>
        <w:bidi w:val="0"/>
        <w:spacing w:line="536" w:lineRule="exact"/>
        <w:ind w:firstLine="480" w:firstLineChars="200"/>
        <w:textAlignment w:val="auto"/>
        <w:rPr>
          <w:rFonts w:hint="eastAsia" w:ascii="宋体" w:hAnsi="宋体" w:eastAsia="宋体" w:cs="宋体"/>
          <w:b/>
          <w:bCs/>
          <w:sz w:val="24"/>
          <w:szCs w:val="24"/>
        </w:rPr>
      </w:pPr>
      <w:r>
        <w:rPr>
          <w:rFonts w:hint="eastAsia" w:ascii="宋体" w:hAnsi="宋体" w:eastAsia="宋体" w:cs="宋体"/>
          <w:sz w:val="24"/>
          <w:szCs w:val="24"/>
        </w:rPr>
        <w:t>第十六条  本次拍卖的未尽事宜，拍卖公司始终保留解释权。</w:t>
      </w:r>
    </w:p>
    <w:p>
      <w:pPr>
        <w:keepNext w:val="0"/>
        <w:keepLines w:val="0"/>
        <w:pageBreakBefore w:val="0"/>
        <w:kinsoku/>
        <w:overflowPunct/>
        <w:topLinePunct w:val="0"/>
        <w:bidi w:val="0"/>
        <w:spacing w:line="536" w:lineRule="exact"/>
        <w:ind w:right="482" w:firstLine="482" w:firstLineChars="200"/>
        <w:jc w:val="right"/>
        <w:textAlignment w:val="auto"/>
        <w:rPr>
          <w:rFonts w:hint="eastAsia" w:ascii="宋体" w:hAnsi="宋体" w:eastAsia="宋体" w:cs="宋体"/>
          <w:b/>
          <w:bCs/>
          <w:sz w:val="24"/>
          <w:szCs w:val="24"/>
        </w:rPr>
      </w:pPr>
      <w:r>
        <w:rPr>
          <w:rFonts w:hint="eastAsia" w:ascii="宋体" w:hAnsi="宋体" w:eastAsia="宋体" w:cs="宋体"/>
          <w:b/>
          <w:bCs/>
          <w:sz w:val="24"/>
          <w:szCs w:val="24"/>
        </w:rPr>
        <w:t>宁波亚德拍卖有限公司</w:t>
      </w:r>
    </w:p>
    <w:p>
      <w:pPr>
        <w:keepNext w:val="0"/>
        <w:keepLines w:val="0"/>
        <w:pageBreakBefore w:val="0"/>
        <w:kinsoku/>
        <w:overflowPunct/>
        <w:topLinePunct w:val="0"/>
        <w:bidi w:val="0"/>
        <w:spacing w:line="536" w:lineRule="exact"/>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                                            2022年</w:t>
      </w:r>
      <w:r>
        <w:rPr>
          <w:rFonts w:hint="eastAsia" w:ascii="宋体" w:hAnsi="宋体" w:eastAsia="宋体" w:cs="宋体"/>
          <w:b/>
          <w:bCs/>
          <w:sz w:val="24"/>
          <w:szCs w:val="24"/>
          <w:lang w:val="en-US" w:eastAsia="zh-CN"/>
        </w:rPr>
        <w:t>11</w:t>
      </w:r>
      <w:r>
        <w:rPr>
          <w:rFonts w:hint="eastAsia" w:ascii="宋体" w:hAnsi="宋体" w:eastAsia="宋体" w:cs="宋体"/>
          <w:b/>
          <w:bCs/>
          <w:sz w:val="24"/>
          <w:szCs w:val="24"/>
        </w:rPr>
        <w:t>月</w:t>
      </w:r>
      <w:r>
        <w:rPr>
          <w:rFonts w:hint="eastAsia" w:ascii="宋体" w:hAnsi="宋体" w:eastAsia="宋体" w:cs="宋体"/>
          <w:b/>
          <w:bCs/>
          <w:sz w:val="24"/>
          <w:szCs w:val="24"/>
          <w:lang w:val="en-US" w:eastAsia="zh-CN"/>
        </w:rPr>
        <w:t>3</w:t>
      </w:r>
      <w:r>
        <w:rPr>
          <w:rFonts w:hint="eastAsia" w:ascii="宋体" w:hAnsi="宋体" w:eastAsia="宋体" w:cs="宋体"/>
          <w:b/>
          <w:bCs/>
          <w:sz w:val="24"/>
          <w:szCs w:val="24"/>
        </w:rPr>
        <w:t>日</w:t>
      </w:r>
    </w:p>
    <w:p>
      <w:pPr>
        <w:keepNext w:val="0"/>
        <w:keepLines w:val="0"/>
        <w:pageBreakBefore w:val="0"/>
        <w:kinsoku/>
        <w:overflowPunct/>
        <w:topLinePunct w:val="0"/>
        <w:bidi w:val="0"/>
        <w:spacing w:line="536"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536" w:lineRule="exact"/>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本人</w:t>
      </w:r>
      <w:r>
        <w:rPr>
          <w:rFonts w:hint="eastAsia" w:ascii="宋体" w:hAnsi="宋体" w:eastAsia="宋体" w:cs="宋体"/>
          <w:b/>
          <w:bCs/>
          <w:color w:val="auto"/>
          <w:sz w:val="24"/>
          <w:szCs w:val="24"/>
          <w:lang w:eastAsia="zh-CN"/>
        </w:rPr>
        <w:t>确认已对以上《拍卖须知》进行了认真研读，并对本次拍卖标的进行了充分、全面的了解，一旦参与拍卖视为予以认可，现承诺在本次拍卖活动中严格履行上述各项条款。</w:t>
      </w:r>
    </w:p>
    <w:p>
      <w:pPr>
        <w:keepNext w:val="0"/>
        <w:keepLines w:val="0"/>
        <w:pageBreakBefore w:val="0"/>
        <w:widowControl w:val="0"/>
        <w:kinsoku/>
        <w:wordWrap/>
        <w:overflowPunct/>
        <w:topLinePunct w:val="0"/>
        <w:autoSpaceDE/>
        <w:autoSpaceDN/>
        <w:bidi w:val="0"/>
        <w:adjustRightInd/>
        <w:snapToGrid/>
        <w:spacing w:line="536"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签字</w:t>
      </w:r>
      <w:r>
        <w:rPr>
          <w:rFonts w:hint="eastAsia" w:ascii="宋体" w:hAnsi="宋体" w:eastAsia="宋体" w:cs="宋体"/>
          <w:b/>
          <w:bCs/>
          <w:color w:val="auto"/>
          <w:sz w:val="24"/>
          <w:szCs w:val="24"/>
          <w:lang w:val="en-US" w:eastAsia="zh-CN"/>
        </w:rPr>
        <w:t>(盖章)：                                       年  月   日</w:t>
      </w:r>
    </w:p>
    <w:p>
      <w:pPr>
        <w:keepNext w:val="0"/>
        <w:keepLines w:val="0"/>
        <w:pageBreakBefore w:val="0"/>
        <w:kinsoku/>
        <w:overflowPunct/>
        <w:topLinePunct w:val="0"/>
        <w:bidi w:val="0"/>
        <w:spacing w:line="576" w:lineRule="exact"/>
        <w:textAlignment w:val="auto"/>
        <w:rPr>
          <w:rFonts w:hint="eastAsia" w:ascii="宋体" w:hAnsi="宋体" w:eastAsia="宋体" w:cs="宋体"/>
          <w:sz w:val="24"/>
          <w:szCs w:val="24"/>
        </w:rPr>
      </w:pPr>
    </w:p>
    <w:sectPr>
      <w:pgSz w:w="11906" w:h="16838"/>
      <w:pgMar w:top="1814" w:right="1797" w:bottom="181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0EE91"/>
    <w:multiLevelType w:val="singleLevel"/>
    <w:tmpl w:val="1DD0EE91"/>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3MTlmMTU2M2E3MzU4OWQwYzcxOTg3ZjQyZDI5Y2QifQ=="/>
  </w:docVars>
  <w:rsids>
    <w:rsidRoot w:val="2C1A4B3D"/>
    <w:rsid w:val="000E7DC1"/>
    <w:rsid w:val="00182F9C"/>
    <w:rsid w:val="001C29B7"/>
    <w:rsid w:val="003271E3"/>
    <w:rsid w:val="004C275E"/>
    <w:rsid w:val="00751C4C"/>
    <w:rsid w:val="00774987"/>
    <w:rsid w:val="00915EDE"/>
    <w:rsid w:val="009D050B"/>
    <w:rsid w:val="00A02EC0"/>
    <w:rsid w:val="00A4125E"/>
    <w:rsid w:val="00D759CB"/>
    <w:rsid w:val="0C2D4546"/>
    <w:rsid w:val="123B16BE"/>
    <w:rsid w:val="25230031"/>
    <w:rsid w:val="2C1A4B3D"/>
    <w:rsid w:val="446B1CB2"/>
    <w:rsid w:val="45091B37"/>
    <w:rsid w:val="46C71C01"/>
    <w:rsid w:val="47BB1907"/>
    <w:rsid w:val="4B954413"/>
    <w:rsid w:val="51BA3D9C"/>
    <w:rsid w:val="56DF6C95"/>
    <w:rsid w:val="5C7051AA"/>
    <w:rsid w:val="61EC19D1"/>
    <w:rsid w:val="6874626D"/>
    <w:rsid w:val="6E021F3E"/>
    <w:rsid w:val="728E0CD6"/>
    <w:rsid w:val="7BE025F3"/>
    <w:rsid w:val="7C630FE6"/>
    <w:rsid w:val="7EE909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eastAsia="Times New Roman"/>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jc w:val="left"/>
    </w:pPr>
    <w:rPr>
      <w:rFonts w:ascii="宋体" w:hAnsi="宋体" w:cs="宋体"/>
      <w:kern w:val="0"/>
      <w:sz w:val="24"/>
    </w:rPr>
  </w:style>
  <w:style w:type="character" w:styleId="8">
    <w:name w:val="Hyperlink"/>
    <w:qFormat/>
    <w:uiPriority w:val="0"/>
    <w:rPr>
      <w:color w:val="0000FF"/>
      <w:u w:val="single"/>
    </w:rPr>
  </w:style>
  <w:style w:type="character" w:customStyle="1" w:styleId="9">
    <w:name w:val="页眉 Char"/>
    <w:basedOn w:val="7"/>
    <w:link w:val="4"/>
    <w:qFormat/>
    <w:uiPriority w:val="0"/>
    <w:rPr>
      <w:rFonts w:ascii="Times New Roman" w:hAnsi="Times New Roman" w:eastAsia="宋体" w:cs="Times New Roman"/>
      <w:kern w:val="2"/>
      <w:sz w:val="18"/>
      <w:szCs w:val="18"/>
    </w:rPr>
  </w:style>
  <w:style w:type="character" w:customStyle="1" w:styleId="10">
    <w:name w:val="页脚 Char"/>
    <w:basedOn w:val="7"/>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26F50-0032-4FE0-ACD3-F43497ED40D9}">
  <ds:schemaRefs/>
</ds:datastoreItem>
</file>

<file path=docProps/app.xml><?xml version="1.0" encoding="utf-8"?>
<Properties xmlns="http://schemas.openxmlformats.org/officeDocument/2006/extended-properties" xmlns:vt="http://schemas.openxmlformats.org/officeDocument/2006/docPropsVTypes">
  <Template>Normal</Template>
  <Pages>13</Pages>
  <Words>4979</Words>
  <Characters>5390</Characters>
  <Lines>41</Lines>
  <Paragraphs>11</Paragraphs>
  <TotalTime>23</TotalTime>
  <ScaleCrop>false</ScaleCrop>
  <LinksUpToDate>false</LinksUpToDate>
  <CharactersWithSpaces>5600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2022-10-23T09:08:00Z</dcterms:created>
  <dc:creator>WPS_1504238738</dc:creator>
  <cp:lastModifiedBy>WPS_1504238738</cp:lastModifiedBy>
  <dcterms:modified xsi:type="dcterms:W3CDTF">2022-11-02T03:42:54Z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83DCDB6FE45D40568DA4C1D88EBC25AD</vt:lpwstr>
  </property>
</Properties>
</file>