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pPr>
        <w:spacing w:line="440" w:lineRule="atLeast"/>
        <w:jc w:val="center"/>
        <w:rPr>
          <w:rFonts w:hint="eastAsia" w:ascii="宋体" w:hAnsi="宋体"/>
          <w:b/>
          <w:bCs/>
          <w:spacing w:val="60"/>
          <w:sz w:val="30"/>
          <w:szCs w:val="30"/>
        </w:rPr>
      </w:pPr>
    </w:p>
    <w:p>
      <w:pPr>
        <w:spacing w:line="440" w:lineRule="atLeast"/>
        <w:jc w:val="center"/>
        <w:rPr>
          <w:rFonts w:hint="eastAsia" w:ascii="宋体" w:hAnsi="宋体"/>
          <w:b/>
          <w:sz w:val="52"/>
          <w:szCs w:val="52"/>
        </w:rPr>
      </w:pPr>
      <w:r>
        <w:rPr>
          <w:rFonts w:hint="eastAsia" w:ascii="宋体" w:hAnsi="宋体"/>
          <w:b/>
          <w:sz w:val="52"/>
          <w:szCs w:val="52"/>
        </w:rPr>
        <w:t xml:space="preserve">拍 </w:t>
      </w:r>
    </w:p>
    <w:p>
      <w:pPr>
        <w:spacing w:line="440" w:lineRule="atLeast"/>
        <w:jc w:val="center"/>
        <w:rPr>
          <w:rFonts w:hint="eastAsia" w:ascii="宋体" w:hAnsi="宋体"/>
          <w:b/>
          <w:sz w:val="52"/>
          <w:szCs w:val="52"/>
        </w:rPr>
      </w:pPr>
      <w:r>
        <w:rPr>
          <w:rFonts w:hint="eastAsia" w:ascii="宋体" w:hAnsi="宋体"/>
          <w:b/>
          <w:sz w:val="52"/>
          <w:szCs w:val="52"/>
        </w:rPr>
        <w:t>卖</w:t>
      </w:r>
    </w:p>
    <w:p>
      <w:pPr>
        <w:spacing w:line="440" w:lineRule="atLeast"/>
        <w:jc w:val="center"/>
        <w:rPr>
          <w:rFonts w:hint="eastAsia" w:ascii="宋体" w:hAnsi="宋体"/>
          <w:b/>
          <w:sz w:val="52"/>
          <w:szCs w:val="52"/>
        </w:rPr>
      </w:pPr>
      <w:r>
        <w:rPr>
          <w:rFonts w:hint="eastAsia" w:ascii="宋体" w:hAnsi="宋体"/>
          <w:b/>
          <w:sz w:val="52"/>
          <w:szCs w:val="52"/>
        </w:rPr>
        <w:t>须</w:t>
      </w:r>
    </w:p>
    <w:p>
      <w:pPr>
        <w:spacing w:line="440" w:lineRule="atLeast"/>
        <w:jc w:val="center"/>
        <w:rPr>
          <w:rFonts w:hint="eastAsia" w:ascii="宋体" w:hAnsi="宋体"/>
          <w:b/>
          <w:sz w:val="52"/>
          <w:szCs w:val="52"/>
        </w:rPr>
      </w:pPr>
      <w:r>
        <w:rPr>
          <w:rFonts w:hint="eastAsia" w:ascii="宋体" w:hAnsi="宋体"/>
          <w:b/>
          <w:sz w:val="52"/>
          <w:szCs w:val="52"/>
        </w:rPr>
        <w:t>知</w:t>
      </w:r>
    </w:p>
    <w:p>
      <w:pPr>
        <w:spacing w:line="440" w:lineRule="atLeast"/>
        <w:jc w:val="center"/>
        <w:rPr>
          <w:rFonts w:hint="eastAsia" w:ascii="宋体" w:hAnsi="宋体"/>
          <w:b/>
          <w:bCs/>
          <w:sz w:val="52"/>
          <w:szCs w:val="52"/>
        </w:rPr>
      </w:pPr>
    </w:p>
    <w:p>
      <w:pPr>
        <w:spacing w:line="600" w:lineRule="exact"/>
        <w:ind w:left="1927" w:leftChars="136" w:right="-107" w:rightChars="-51" w:hanging="1641" w:hangingChars="681"/>
        <w:rPr>
          <w:rFonts w:hint="eastAsia"/>
          <w:b/>
          <w:bCs/>
          <w:sz w:val="24"/>
        </w:rPr>
      </w:pPr>
    </w:p>
    <w:p>
      <w:pPr>
        <w:spacing w:line="600" w:lineRule="exact"/>
        <w:ind w:left="1927" w:leftChars="136" w:right="-107" w:rightChars="-51" w:hanging="1641" w:hangingChars="681"/>
        <w:rPr>
          <w:rFonts w:hint="eastAsia" w:ascii="宋体" w:hAnsi="宋体" w:cs="宋体"/>
          <w:kern w:val="0"/>
          <w:szCs w:val="21"/>
        </w:rPr>
      </w:pPr>
      <w:r>
        <w:rPr>
          <w:rFonts w:hint="eastAsia"/>
          <w:b/>
          <w:bCs/>
          <w:sz w:val="24"/>
        </w:rPr>
        <w:t>拍卖会名称</w:t>
      </w:r>
      <w:r>
        <w:rPr>
          <w:rFonts w:hint="eastAsia" w:ascii="宋体" w:hAnsi="宋体" w:cs="楷体_GB2312"/>
          <w:sz w:val="24"/>
        </w:rPr>
        <w:t>：</w:t>
      </w:r>
      <w:r>
        <w:rPr>
          <w:rFonts w:hint="eastAsia" w:ascii="宋体" w:hAnsi="宋体" w:cs="宋体"/>
          <w:kern w:val="0"/>
          <w:sz w:val="24"/>
        </w:rPr>
        <w:t>阳明东路269号部分房屋及地下车位租赁权网络拍卖会</w:t>
      </w:r>
    </w:p>
    <w:p>
      <w:pPr>
        <w:spacing w:line="600" w:lineRule="exact"/>
        <w:ind w:right="-107" w:rightChars="-51" w:firstLine="282" w:firstLineChars="117"/>
        <w:rPr>
          <w:rFonts w:hint="eastAsia" w:ascii="宋体" w:hAnsi="宋体" w:cs="宋体"/>
          <w:kern w:val="0"/>
          <w:sz w:val="24"/>
        </w:rPr>
      </w:pPr>
      <w:r>
        <w:rPr>
          <w:rFonts w:hint="eastAsia" w:ascii="宋体" w:hAnsi="宋体"/>
          <w:b/>
          <w:sz w:val="24"/>
        </w:rPr>
        <w:t>拍卖标的：</w:t>
      </w:r>
      <w:r>
        <w:rPr>
          <w:rFonts w:hint="eastAsia" w:ascii="宋体" w:hAnsi="宋体" w:cs="宋体"/>
          <w:kern w:val="0"/>
          <w:sz w:val="24"/>
        </w:rPr>
        <w:t>阳明东路269号部分房屋及地下车位5年租赁权</w:t>
      </w:r>
    </w:p>
    <w:p>
      <w:pPr>
        <w:spacing w:line="600" w:lineRule="exact"/>
        <w:ind w:right="-107" w:rightChars="-51" w:firstLine="282" w:firstLineChars="117"/>
        <w:rPr>
          <w:rFonts w:hint="eastAsia" w:ascii="宋体" w:hAnsi="宋体" w:cs="宋体"/>
          <w:kern w:val="0"/>
          <w:sz w:val="24"/>
        </w:rPr>
      </w:pPr>
      <w:r>
        <w:rPr>
          <w:rFonts w:hint="eastAsia"/>
          <w:b/>
          <w:bCs/>
          <w:sz w:val="24"/>
        </w:rPr>
        <w:t>拍卖会时间：</w:t>
      </w:r>
      <w:r>
        <w:rPr>
          <w:rFonts w:hint="eastAsia" w:ascii="宋体" w:hAnsi="宋体" w:cs="宋体"/>
          <w:kern w:val="0"/>
          <w:sz w:val="24"/>
        </w:rPr>
        <w:t>2022年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日上午9:00—9:30（延时除外）</w:t>
      </w:r>
    </w:p>
    <w:p>
      <w:pPr>
        <w:spacing w:line="600" w:lineRule="exact"/>
        <w:ind w:left="-107" w:leftChars="-51" w:right="-107" w:rightChars="-51" w:firstLine="390" w:firstLineChars="162"/>
        <w:rPr>
          <w:rFonts w:hint="eastAsia" w:ascii="宋体" w:hAnsi="宋体" w:cs="宋体"/>
          <w:kern w:val="0"/>
          <w:sz w:val="24"/>
        </w:rPr>
      </w:pPr>
      <w:r>
        <w:rPr>
          <w:rFonts w:hint="eastAsia"/>
          <w:b/>
          <w:bCs/>
          <w:sz w:val="24"/>
        </w:rPr>
        <w:t>拍卖方式：</w:t>
      </w:r>
      <w:r>
        <w:rPr>
          <w:rFonts w:hint="eastAsia" w:ascii="宋体" w:hAnsi="宋体" w:cs="楷体_GB2312"/>
          <w:sz w:val="24"/>
        </w:rPr>
        <w:t>网上竞价</w:t>
      </w:r>
    </w:p>
    <w:p>
      <w:pPr>
        <w:spacing w:after="93" w:afterLines="30" w:line="500" w:lineRule="exact"/>
        <w:rPr>
          <w:rFonts w:hint="eastAsia" w:ascii="宋体" w:hAnsi="宋体"/>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ascii="宋体" w:hAnsi="宋体"/>
          <w:sz w:val="24"/>
        </w:rPr>
      </w:pPr>
      <w:r>
        <w:rPr>
          <w:rFonts w:hint="eastAsia" w:ascii="宋体" w:hAnsi="宋体"/>
          <w:sz w:val="24"/>
        </w:rPr>
        <w:t>公司地址：浙江省余姚市舜水北路16号</w:t>
      </w:r>
    </w:p>
    <w:p>
      <w:pPr>
        <w:spacing w:after="93" w:afterLines="30" w:line="500" w:lineRule="exact"/>
        <w:ind w:firstLine="283" w:firstLineChars="118"/>
        <w:rPr>
          <w:rFonts w:hint="eastAsia" w:ascii="宋体" w:hAnsi="宋体"/>
          <w:sz w:val="24"/>
        </w:rPr>
      </w:pPr>
      <w:r>
        <w:rPr>
          <w:rFonts w:hint="eastAsia" w:ascii="宋体" w:hAnsi="宋体"/>
          <w:sz w:val="24"/>
        </w:rPr>
        <w:t>公司电话：0574-62724638、62651915         传真：0574-62651961</w:t>
      </w:r>
    </w:p>
    <w:p>
      <w:pPr>
        <w:spacing w:line="500" w:lineRule="exact"/>
        <w:ind w:left="357" w:leftChars="170" w:firstLine="2831" w:firstLineChars="641"/>
        <w:rPr>
          <w:rFonts w:hint="eastAsia" w:ascii="宋体" w:hAnsi="宋体"/>
          <w:b/>
          <w:sz w:val="44"/>
          <w:szCs w:val="44"/>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b/>
          <w:sz w:val="44"/>
          <w:szCs w:val="44"/>
        </w:rPr>
      </w:pPr>
      <w:r>
        <w:rPr>
          <w:rFonts w:hint="eastAsia" w:ascii="宋体" w:hAnsi="宋体"/>
          <w:b/>
          <w:sz w:val="44"/>
          <w:szCs w:val="44"/>
        </w:rPr>
        <w:t>拍  卖  须  知</w:t>
      </w:r>
    </w:p>
    <w:p>
      <w:pPr>
        <w:keepNext w:val="0"/>
        <w:keepLines w:val="0"/>
        <w:pageBreakBefore w:val="0"/>
        <w:kinsoku/>
        <w:wordWrap/>
        <w:overflowPunct/>
        <w:topLinePunct w:val="0"/>
        <w:autoSpaceDE/>
        <w:autoSpaceDN/>
        <w:bidi w:val="0"/>
        <w:adjustRightInd/>
        <w:spacing w:before="312" w:beforeLines="100" w:after="156" w:afterLines="50" w:line="400" w:lineRule="exact"/>
        <w:jc w:val="center"/>
        <w:textAlignment w:val="auto"/>
        <w:rPr>
          <w:rFonts w:hint="eastAsia" w:ascii="宋体" w:hAnsi="宋体"/>
          <w:b/>
          <w:sz w:val="28"/>
          <w:szCs w:val="28"/>
        </w:rPr>
      </w:pPr>
      <w:r>
        <w:rPr>
          <w:rFonts w:hint="eastAsia" w:ascii="宋体" w:hAnsi="宋体"/>
          <w:b/>
          <w:sz w:val="28"/>
          <w:szCs w:val="28"/>
        </w:rPr>
        <w:t>总 则</w:t>
      </w:r>
    </w:p>
    <w:p>
      <w:pPr>
        <w:keepNext w:val="0"/>
        <w:keepLines w:val="0"/>
        <w:pageBreakBefore w:val="0"/>
        <w:kinsoku/>
        <w:wordWrap/>
        <w:overflowPunct/>
        <w:topLinePunct w:val="0"/>
        <w:autoSpaceDE/>
        <w:autoSpaceDN/>
        <w:bidi w:val="0"/>
        <w:adjustRightInd/>
        <w:spacing w:line="400" w:lineRule="exact"/>
        <w:ind w:firstLine="470" w:firstLineChars="195"/>
        <w:textAlignment w:val="auto"/>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本《拍卖须知》根据《中华人民共和国拍卖法》及相关法律、法规、规章，参照国际通行惯例制定。</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sz w:val="24"/>
        </w:rPr>
      </w:pPr>
      <w:r>
        <w:rPr>
          <w:rFonts w:hint="eastAsia" w:ascii="宋体" w:hAnsi="宋体"/>
          <w:b/>
          <w:sz w:val="24"/>
        </w:rPr>
        <w:t>第二条</w:t>
      </w:r>
      <w:r>
        <w:rPr>
          <w:rFonts w:hint="eastAsia" w:ascii="宋体" w:hAnsi="宋体"/>
          <w:sz w:val="24"/>
        </w:rPr>
        <w:t xml:space="preserve">  拍卖人将依法组织和开展拍卖活动，参加拍卖活动的竞买人必须仔细阅读并遵守本《拍卖须知》及其它相关文件，并对自己执行本《拍卖须知》的行为负责。</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pPr>
        <w:keepNext w:val="0"/>
        <w:keepLines w:val="0"/>
        <w:pageBreakBefore w:val="0"/>
        <w:widowControl/>
        <w:shd w:val="clear" w:color="auto" w:fill="FFFFFF"/>
        <w:kinsoku/>
        <w:wordWrap/>
        <w:overflowPunct/>
        <w:topLinePunct w:val="0"/>
        <w:autoSpaceDE/>
        <w:autoSpaceDN/>
        <w:bidi w:val="0"/>
        <w:adjustRightInd/>
        <w:spacing w:line="400" w:lineRule="exact"/>
        <w:jc w:val="center"/>
        <w:textAlignment w:val="auto"/>
        <w:rPr>
          <w:rFonts w:hint="eastAsia" w:ascii="宋体" w:hAnsi="宋体"/>
          <w:b/>
          <w:sz w:val="28"/>
          <w:szCs w:val="28"/>
        </w:rPr>
      </w:pPr>
      <w:r>
        <w:rPr>
          <w:rFonts w:hint="eastAsia" w:ascii="宋体" w:hAnsi="宋体"/>
          <w:b/>
          <w:sz w:val="28"/>
          <w:szCs w:val="28"/>
        </w:rPr>
        <w:t>拍卖标的</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241" w:firstLineChars="100"/>
        <w:jc w:val="left"/>
        <w:textAlignment w:val="auto"/>
        <w:rPr>
          <w:rFonts w:ascii="宋体" w:hAnsi="宋体"/>
          <w:sz w:val="24"/>
        </w:rPr>
      </w:pPr>
      <w:r>
        <w:rPr>
          <w:rFonts w:hint="eastAsia" w:ascii="宋体" w:hAnsi="宋体"/>
          <w:b/>
          <w:sz w:val="24"/>
        </w:rPr>
        <w:t>第四条  拍卖标的：</w:t>
      </w:r>
      <w:r>
        <w:rPr>
          <w:rFonts w:hint="eastAsia" w:ascii="宋体" w:hAnsi="宋体"/>
          <w:sz w:val="24"/>
        </w:rPr>
        <w:t>余姚市城区阳明东路269号部分房屋及地下车位租赁权，具体如下：</w:t>
      </w:r>
    </w:p>
    <w:tbl>
      <w:tblPr>
        <w:tblStyle w:val="3"/>
        <w:tblpPr w:leftFromText="180" w:rightFromText="180" w:vertAnchor="text" w:horzAnchor="page" w:tblpX="1800" w:tblpY="163"/>
        <w:tblOverlap w:val="never"/>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105"/>
        <w:gridCol w:w="1134"/>
        <w:gridCol w:w="1134"/>
        <w:gridCol w:w="993"/>
        <w:gridCol w:w="708"/>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pStyle w:val="2"/>
              <w:keepNext w:val="0"/>
              <w:keepLines w:val="0"/>
              <w:pageBreakBefore w:val="0"/>
              <w:kinsoku/>
              <w:wordWrap/>
              <w:overflowPunct/>
              <w:topLinePunct w:val="0"/>
              <w:autoSpaceDE/>
              <w:autoSpaceDN/>
              <w:bidi w:val="0"/>
              <w:adjustRightInd/>
              <w:spacing w:before="0" w:beforeAutospacing="0" w:after="0" w:afterAutospacing="0" w:line="400" w:lineRule="exact"/>
              <w:ind w:right="-86" w:rightChars="-41"/>
              <w:textAlignment w:val="auto"/>
              <w:rPr>
                <w:rFonts w:hint="eastAsia"/>
                <w:b/>
                <w:sz w:val="21"/>
                <w:szCs w:val="21"/>
              </w:rPr>
            </w:pPr>
            <w:r>
              <w:rPr>
                <w:rFonts w:hint="eastAsia"/>
                <w:b/>
                <w:sz w:val="21"/>
                <w:szCs w:val="21"/>
              </w:rPr>
              <w:t>序号</w:t>
            </w:r>
          </w:p>
        </w:tc>
        <w:tc>
          <w:tcPr>
            <w:tcW w:w="2105" w:type="dxa"/>
            <w:noWrap w:val="0"/>
            <w:vAlign w:val="center"/>
          </w:tcPr>
          <w:p>
            <w:pPr>
              <w:pStyle w:val="2"/>
              <w:keepNext w:val="0"/>
              <w:keepLines w:val="0"/>
              <w:pageBreakBefore w:val="0"/>
              <w:kinsoku/>
              <w:wordWrap/>
              <w:overflowPunct/>
              <w:topLinePunct w:val="0"/>
              <w:autoSpaceDE/>
              <w:autoSpaceDN/>
              <w:bidi w:val="0"/>
              <w:adjustRightInd/>
              <w:spacing w:before="0" w:beforeAutospacing="0" w:after="0" w:afterAutospacing="0" w:line="400" w:lineRule="exact"/>
              <w:jc w:val="center"/>
              <w:textAlignment w:val="auto"/>
              <w:rPr>
                <w:rFonts w:hint="eastAsia"/>
                <w:b/>
                <w:sz w:val="21"/>
                <w:szCs w:val="21"/>
              </w:rPr>
            </w:pPr>
            <w:r>
              <w:rPr>
                <w:rFonts w:hint="eastAsia"/>
                <w:b/>
                <w:sz w:val="21"/>
                <w:szCs w:val="21"/>
              </w:rPr>
              <w:t>座  落</w:t>
            </w:r>
          </w:p>
        </w:tc>
        <w:tc>
          <w:tcPr>
            <w:tcW w:w="1134" w:type="dxa"/>
            <w:noWrap w:val="0"/>
            <w:vAlign w:val="center"/>
          </w:tcPr>
          <w:p>
            <w:pPr>
              <w:pStyle w:val="2"/>
              <w:keepNext w:val="0"/>
              <w:keepLines w:val="0"/>
              <w:pageBreakBefore w:val="0"/>
              <w:kinsoku/>
              <w:wordWrap/>
              <w:overflowPunct/>
              <w:topLinePunct w:val="0"/>
              <w:autoSpaceDE/>
              <w:autoSpaceDN/>
              <w:bidi w:val="0"/>
              <w:adjustRightInd/>
              <w:spacing w:before="0" w:beforeAutospacing="0" w:after="0" w:afterAutospacing="0" w:line="400" w:lineRule="exact"/>
              <w:ind w:right="-107" w:rightChars="-51"/>
              <w:jc w:val="center"/>
              <w:textAlignment w:val="auto"/>
              <w:rPr>
                <w:rFonts w:hint="eastAsia"/>
                <w:b/>
                <w:sz w:val="21"/>
                <w:szCs w:val="21"/>
              </w:rPr>
            </w:pPr>
            <w:r>
              <w:rPr>
                <w:rFonts w:hint="eastAsia"/>
                <w:b/>
                <w:sz w:val="21"/>
                <w:szCs w:val="21"/>
              </w:rPr>
              <w:t>出租面积（平方米）</w:t>
            </w:r>
          </w:p>
        </w:tc>
        <w:tc>
          <w:tcPr>
            <w:tcW w:w="1134" w:type="dxa"/>
            <w:noWrap w:val="0"/>
            <w:vAlign w:val="center"/>
          </w:tcPr>
          <w:p>
            <w:pPr>
              <w:pStyle w:val="2"/>
              <w:keepNext w:val="0"/>
              <w:keepLines w:val="0"/>
              <w:pageBreakBefore w:val="0"/>
              <w:kinsoku/>
              <w:wordWrap/>
              <w:overflowPunct/>
              <w:topLinePunct w:val="0"/>
              <w:autoSpaceDE/>
              <w:autoSpaceDN/>
              <w:bidi w:val="0"/>
              <w:adjustRightInd/>
              <w:spacing w:before="0" w:beforeAutospacing="0" w:after="0" w:afterAutospacing="0" w:line="400" w:lineRule="exact"/>
              <w:jc w:val="center"/>
              <w:textAlignment w:val="auto"/>
              <w:rPr>
                <w:rFonts w:hint="eastAsia"/>
                <w:b/>
                <w:sz w:val="21"/>
                <w:szCs w:val="21"/>
              </w:rPr>
            </w:pPr>
            <w:r>
              <w:rPr>
                <w:rFonts w:hint="eastAsia"/>
                <w:b/>
                <w:sz w:val="21"/>
                <w:szCs w:val="21"/>
              </w:rPr>
              <w:t>出租年限</w:t>
            </w:r>
          </w:p>
          <w:p>
            <w:pPr>
              <w:pStyle w:val="2"/>
              <w:keepNext w:val="0"/>
              <w:keepLines w:val="0"/>
              <w:pageBreakBefore w:val="0"/>
              <w:kinsoku/>
              <w:wordWrap/>
              <w:overflowPunct/>
              <w:topLinePunct w:val="0"/>
              <w:autoSpaceDE/>
              <w:autoSpaceDN/>
              <w:bidi w:val="0"/>
              <w:adjustRightInd/>
              <w:spacing w:before="0" w:beforeAutospacing="0" w:after="0" w:afterAutospacing="0" w:line="400" w:lineRule="exact"/>
              <w:jc w:val="center"/>
              <w:textAlignment w:val="auto"/>
              <w:rPr>
                <w:rFonts w:hint="eastAsia"/>
                <w:b/>
                <w:sz w:val="21"/>
                <w:szCs w:val="21"/>
              </w:rPr>
            </w:pPr>
            <w:r>
              <w:rPr>
                <w:rFonts w:hint="eastAsia"/>
                <w:b/>
                <w:sz w:val="21"/>
                <w:szCs w:val="21"/>
              </w:rPr>
              <w:t>（年）</w:t>
            </w:r>
          </w:p>
        </w:tc>
        <w:tc>
          <w:tcPr>
            <w:tcW w:w="993" w:type="dxa"/>
            <w:noWrap w:val="0"/>
            <w:vAlign w:val="center"/>
          </w:tcPr>
          <w:p>
            <w:pPr>
              <w:pStyle w:val="2"/>
              <w:keepNext w:val="0"/>
              <w:keepLines w:val="0"/>
              <w:pageBreakBefore w:val="0"/>
              <w:kinsoku/>
              <w:wordWrap/>
              <w:overflowPunct/>
              <w:topLinePunct w:val="0"/>
              <w:autoSpaceDE/>
              <w:autoSpaceDN/>
              <w:bidi w:val="0"/>
              <w:adjustRightInd/>
              <w:spacing w:before="0" w:beforeAutospacing="0" w:after="0" w:afterAutospacing="0" w:line="400" w:lineRule="exact"/>
              <w:jc w:val="center"/>
              <w:textAlignment w:val="auto"/>
              <w:rPr>
                <w:rFonts w:hint="eastAsia"/>
                <w:b/>
                <w:sz w:val="21"/>
                <w:szCs w:val="21"/>
              </w:rPr>
            </w:pPr>
            <w:r>
              <w:rPr>
                <w:rFonts w:hint="eastAsia"/>
                <w:b/>
                <w:sz w:val="21"/>
                <w:szCs w:val="21"/>
              </w:rPr>
              <w:t>证载</w:t>
            </w:r>
          </w:p>
          <w:p>
            <w:pPr>
              <w:pStyle w:val="2"/>
              <w:keepNext w:val="0"/>
              <w:keepLines w:val="0"/>
              <w:pageBreakBefore w:val="0"/>
              <w:kinsoku/>
              <w:wordWrap/>
              <w:overflowPunct/>
              <w:topLinePunct w:val="0"/>
              <w:autoSpaceDE/>
              <w:autoSpaceDN/>
              <w:bidi w:val="0"/>
              <w:adjustRightInd/>
              <w:spacing w:before="0" w:beforeAutospacing="0" w:after="0" w:afterAutospacing="0" w:line="400" w:lineRule="exact"/>
              <w:jc w:val="center"/>
              <w:textAlignment w:val="auto"/>
              <w:rPr>
                <w:b/>
                <w:sz w:val="21"/>
                <w:szCs w:val="21"/>
              </w:rPr>
            </w:pPr>
            <w:r>
              <w:rPr>
                <w:rFonts w:hint="eastAsia"/>
                <w:b/>
                <w:sz w:val="21"/>
                <w:szCs w:val="21"/>
              </w:rPr>
              <w:t>用途</w:t>
            </w:r>
          </w:p>
        </w:tc>
        <w:tc>
          <w:tcPr>
            <w:tcW w:w="708" w:type="dxa"/>
            <w:noWrap w:val="0"/>
            <w:vAlign w:val="center"/>
          </w:tcPr>
          <w:p>
            <w:pPr>
              <w:pStyle w:val="2"/>
              <w:keepNext w:val="0"/>
              <w:keepLines w:val="0"/>
              <w:pageBreakBefore w:val="0"/>
              <w:kinsoku/>
              <w:wordWrap/>
              <w:overflowPunct/>
              <w:topLinePunct w:val="0"/>
              <w:autoSpaceDE/>
              <w:autoSpaceDN/>
              <w:bidi w:val="0"/>
              <w:adjustRightInd/>
              <w:spacing w:before="0" w:beforeAutospacing="0" w:after="0" w:afterAutospacing="0" w:line="400" w:lineRule="exact"/>
              <w:jc w:val="center"/>
              <w:textAlignment w:val="auto"/>
              <w:rPr>
                <w:rFonts w:hint="eastAsia"/>
                <w:b/>
                <w:sz w:val="21"/>
                <w:szCs w:val="21"/>
              </w:rPr>
            </w:pPr>
            <w:r>
              <w:rPr>
                <w:rFonts w:hint="eastAsia"/>
                <w:b/>
                <w:sz w:val="21"/>
                <w:szCs w:val="21"/>
              </w:rPr>
              <w:t>现状</w:t>
            </w:r>
          </w:p>
        </w:tc>
        <w:tc>
          <w:tcPr>
            <w:tcW w:w="1276" w:type="dxa"/>
            <w:noWrap w:val="0"/>
            <w:vAlign w:val="center"/>
          </w:tcPr>
          <w:p>
            <w:pPr>
              <w:pStyle w:val="2"/>
              <w:keepNext w:val="0"/>
              <w:keepLines w:val="0"/>
              <w:pageBreakBefore w:val="0"/>
              <w:kinsoku/>
              <w:wordWrap/>
              <w:overflowPunct/>
              <w:topLinePunct w:val="0"/>
              <w:autoSpaceDE/>
              <w:autoSpaceDN/>
              <w:bidi w:val="0"/>
              <w:adjustRightInd/>
              <w:spacing w:before="0" w:beforeAutospacing="0" w:after="0" w:afterAutospacing="0" w:line="400" w:lineRule="exact"/>
              <w:jc w:val="center"/>
              <w:textAlignment w:val="auto"/>
              <w:rPr>
                <w:rFonts w:hint="eastAsia"/>
                <w:b/>
                <w:sz w:val="21"/>
                <w:szCs w:val="21"/>
              </w:rPr>
            </w:pPr>
            <w:r>
              <w:rPr>
                <w:rFonts w:hint="eastAsia"/>
                <w:b/>
                <w:sz w:val="21"/>
                <w:szCs w:val="21"/>
              </w:rPr>
              <w:t>整体起拍价</w:t>
            </w:r>
          </w:p>
          <w:p>
            <w:pPr>
              <w:pStyle w:val="2"/>
              <w:keepNext w:val="0"/>
              <w:keepLines w:val="0"/>
              <w:pageBreakBefore w:val="0"/>
              <w:kinsoku/>
              <w:wordWrap/>
              <w:overflowPunct/>
              <w:topLinePunct w:val="0"/>
              <w:autoSpaceDE/>
              <w:autoSpaceDN/>
              <w:bidi w:val="0"/>
              <w:adjustRightInd/>
              <w:spacing w:before="0" w:beforeAutospacing="0" w:after="0" w:afterAutospacing="0" w:line="400" w:lineRule="exact"/>
              <w:jc w:val="center"/>
              <w:textAlignment w:val="auto"/>
              <w:rPr>
                <w:rFonts w:hint="eastAsia"/>
                <w:b/>
                <w:sz w:val="21"/>
                <w:szCs w:val="21"/>
              </w:rPr>
            </w:pPr>
            <w:r>
              <w:rPr>
                <w:rFonts w:hint="eastAsia"/>
                <w:b/>
                <w:sz w:val="21"/>
                <w:szCs w:val="21"/>
              </w:rPr>
              <w:t>（万元/年）</w:t>
            </w:r>
          </w:p>
        </w:tc>
        <w:tc>
          <w:tcPr>
            <w:tcW w:w="1134" w:type="dxa"/>
            <w:noWrap w:val="0"/>
            <w:vAlign w:val="center"/>
          </w:tcPr>
          <w:p>
            <w:pPr>
              <w:pStyle w:val="2"/>
              <w:keepNext w:val="0"/>
              <w:keepLines w:val="0"/>
              <w:pageBreakBefore w:val="0"/>
              <w:kinsoku/>
              <w:wordWrap/>
              <w:overflowPunct/>
              <w:topLinePunct w:val="0"/>
              <w:autoSpaceDE/>
              <w:autoSpaceDN/>
              <w:bidi w:val="0"/>
              <w:adjustRightInd/>
              <w:spacing w:before="0" w:beforeAutospacing="0" w:after="0" w:afterAutospacing="0" w:line="400" w:lineRule="exact"/>
              <w:ind w:left="-107" w:leftChars="-51" w:right="-107" w:rightChars="-51"/>
              <w:jc w:val="center"/>
              <w:textAlignment w:val="auto"/>
              <w:rPr>
                <w:rFonts w:hint="eastAsia"/>
                <w:b/>
                <w:sz w:val="21"/>
                <w:szCs w:val="21"/>
              </w:rPr>
            </w:pPr>
            <w:r>
              <w:rPr>
                <w:rFonts w:hint="eastAsia"/>
                <w:b/>
                <w:sz w:val="21"/>
                <w:szCs w:val="21"/>
              </w:rPr>
              <w:t>竞买保证金</w:t>
            </w:r>
          </w:p>
          <w:p>
            <w:pPr>
              <w:pStyle w:val="2"/>
              <w:keepNext w:val="0"/>
              <w:keepLines w:val="0"/>
              <w:pageBreakBefore w:val="0"/>
              <w:kinsoku/>
              <w:wordWrap/>
              <w:overflowPunct/>
              <w:topLinePunct w:val="0"/>
              <w:autoSpaceDE/>
              <w:autoSpaceDN/>
              <w:bidi w:val="0"/>
              <w:adjustRightInd/>
              <w:spacing w:before="0" w:beforeAutospacing="0" w:after="0" w:afterAutospacing="0" w:line="400" w:lineRule="exact"/>
              <w:jc w:val="center"/>
              <w:textAlignment w:val="auto"/>
              <w:rPr>
                <w:rFonts w:hint="eastAsia"/>
                <w:b/>
                <w:sz w:val="21"/>
                <w:szCs w:val="21"/>
              </w:rPr>
            </w:pPr>
            <w:r>
              <w:rPr>
                <w:rFonts w:hint="eastAsia"/>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764"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b/>
                <w:sz w:val="21"/>
                <w:szCs w:val="21"/>
              </w:rPr>
            </w:pPr>
            <w:r>
              <w:rPr>
                <w:rFonts w:hint="eastAsia"/>
                <w:b/>
                <w:sz w:val="21"/>
                <w:szCs w:val="21"/>
              </w:rPr>
              <w:t>1</w:t>
            </w:r>
          </w:p>
        </w:tc>
        <w:tc>
          <w:tcPr>
            <w:tcW w:w="2105"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ind w:right="-107" w:rightChars="-51"/>
              <w:jc w:val="center"/>
              <w:textAlignment w:val="auto"/>
              <w:rPr>
                <w:rFonts w:hint="eastAsia"/>
                <w:sz w:val="21"/>
                <w:szCs w:val="21"/>
              </w:rPr>
            </w:pPr>
            <w:r>
              <w:rPr>
                <w:rFonts w:hint="eastAsia"/>
                <w:sz w:val="21"/>
                <w:szCs w:val="21"/>
              </w:rPr>
              <w:t>一层东北角圆弧房屋</w:t>
            </w:r>
          </w:p>
        </w:tc>
        <w:tc>
          <w:tcPr>
            <w:tcW w:w="1134"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93.13</w:t>
            </w:r>
          </w:p>
        </w:tc>
        <w:tc>
          <w:tcPr>
            <w:tcW w:w="1134" w:type="dxa"/>
            <w:vMerge w:val="restart"/>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5</w:t>
            </w:r>
          </w:p>
        </w:tc>
        <w:tc>
          <w:tcPr>
            <w:tcW w:w="993" w:type="dxa"/>
            <w:vMerge w:val="restart"/>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商服用地/商业</w:t>
            </w:r>
          </w:p>
        </w:tc>
        <w:tc>
          <w:tcPr>
            <w:tcW w:w="708" w:type="dxa"/>
            <w:vMerge w:val="restart"/>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空置</w:t>
            </w:r>
          </w:p>
        </w:tc>
        <w:tc>
          <w:tcPr>
            <w:tcW w:w="1276" w:type="dxa"/>
            <w:vMerge w:val="restart"/>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52.22</w:t>
            </w:r>
          </w:p>
        </w:tc>
        <w:tc>
          <w:tcPr>
            <w:tcW w:w="1134" w:type="dxa"/>
            <w:vMerge w:val="restart"/>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sz w:val="21"/>
                <w:szCs w:val="21"/>
              </w:rPr>
            </w:pPr>
            <w:r>
              <w:rPr>
                <w:rFonts w:hint="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64"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b/>
                <w:sz w:val="21"/>
                <w:szCs w:val="21"/>
              </w:rPr>
            </w:pPr>
            <w:r>
              <w:rPr>
                <w:rFonts w:hint="eastAsia"/>
                <w:b/>
                <w:sz w:val="21"/>
                <w:szCs w:val="21"/>
              </w:rPr>
              <w:t>2</w:t>
            </w:r>
          </w:p>
        </w:tc>
        <w:tc>
          <w:tcPr>
            <w:tcW w:w="2105"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四层房屋</w:t>
            </w:r>
          </w:p>
        </w:tc>
        <w:tc>
          <w:tcPr>
            <w:tcW w:w="1134"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2294.21</w:t>
            </w:r>
          </w:p>
        </w:tc>
        <w:tc>
          <w:tcPr>
            <w:tcW w:w="1134"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993"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708"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1276"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1134"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bottom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b/>
                <w:sz w:val="21"/>
                <w:szCs w:val="21"/>
              </w:rPr>
            </w:pPr>
            <w:r>
              <w:rPr>
                <w:rFonts w:hint="eastAsia"/>
                <w:b/>
                <w:sz w:val="21"/>
                <w:szCs w:val="21"/>
              </w:rPr>
              <w:t>3</w:t>
            </w:r>
          </w:p>
        </w:tc>
        <w:tc>
          <w:tcPr>
            <w:tcW w:w="2105" w:type="dxa"/>
            <w:tcBorders>
              <w:bottom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sz w:val="21"/>
                <w:szCs w:val="21"/>
              </w:rPr>
            </w:pPr>
            <w:r>
              <w:rPr>
                <w:rFonts w:hint="eastAsia"/>
                <w:sz w:val="21"/>
                <w:szCs w:val="21"/>
              </w:rPr>
              <w:t>五层西首16间房屋</w:t>
            </w:r>
          </w:p>
        </w:tc>
        <w:tc>
          <w:tcPr>
            <w:tcW w:w="1134" w:type="dxa"/>
            <w:tcBorders>
              <w:bottom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641.73</w:t>
            </w:r>
          </w:p>
        </w:tc>
        <w:tc>
          <w:tcPr>
            <w:tcW w:w="1134"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993"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708"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1276"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1134"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b/>
                <w:sz w:val="21"/>
                <w:szCs w:val="21"/>
              </w:rPr>
            </w:pPr>
            <w:r>
              <w:rPr>
                <w:rFonts w:hint="eastAsia"/>
                <w:b/>
                <w:sz w:val="21"/>
                <w:szCs w:val="21"/>
              </w:rPr>
              <w:t>4</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sz w:val="21"/>
                <w:szCs w:val="21"/>
              </w:rPr>
            </w:pPr>
            <w:r>
              <w:rPr>
                <w:rFonts w:hint="eastAsia"/>
                <w:sz w:val="21"/>
                <w:szCs w:val="21"/>
              </w:rPr>
              <w:t>五层北首4间房屋</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196.69</w:t>
            </w:r>
          </w:p>
        </w:tc>
        <w:tc>
          <w:tcPr>
            <w:tcW w:w="1134"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993" w:type="dxa"/>
            <w:vMerge w:val="continue"/>
            <w:tcBorders>
              <w:bottom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708"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1276"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c>
          <w:tcPr>
            <w:tcW w:w="1134"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b/>
                <w:sz w:val="21"/>
                <w:szCs w:val="21"/>
              </w:rPr>
            </w:pPr>
            <w:r>
              <w:rPr>
                <w:rFonts w:hint="eastAsia"/>
                <w:b/>
                <w:sz w:val="21"/>
                <w:szCs w:val="21"/>
              </w:rPr>
              <w:t>5</w:t>
            </w:r>
          </w:p>
        </w:tc>
        <w:tc>
          <w:tcPr>
            <w:tcW w:w="2105"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20只地下车位</w:t>
            </w:r>
          </w:p>
        </w:tc>
        <w:tc>
          <w:tcPr>
            <w:tcW w:w="1134"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w:t>
            </w:r>
          </w:p>
        </w:tc>
        <w:tc>
          <w:tcPr>
            <w:tcW w:w="1134"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p>
        </w:tc>
        <w:tc>
          <w:tcPr>
            <w:tcW w:w="993"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r>
              <w:rPr>
                <w:rFonts w:hint="eastAsia"/>
                <w:sz w:val="21"/>
                <w:szCs w:val="21"/>
              </w:rPr>
              <w:t>/</w:t>
            </w:r>
          </w:p>
        </w:tc>
        <w:tc>
          <w:tcPr>
            <w:tcW w:w="708"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p>
        </w:tc>
        <w:tc>
          <w:tcPr>
            <w:tcW w:w="1276"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p>
        </w:tc>
        <w:tc>
          <w:tcPr>
            <w:tcW w:w="1134"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gridSpan w:val="2"/>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b/>
                <w:sz w:val="21"/>
                <w:szCs w:val="21"/>
              </w:rPr>
            </w:pPr>
            <w:r>
              <w:rPr>
                <w:rFonts w:hint="eastAsia"/>
                <w:b/>
                <w:sz w:val="21"/>
                <w:szCs w:val="21"/>
              </w:rPr>
              <w:t>合计</w:t>
            </w:r>
          </w:p>
        </w:tc>
        <w:tc>
          <w:tcPr>
            <w:tcW w:w="1134"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b/>
                <w:sz w:val="21"/>
                <w:szCs w:val="21"/>
              </w:rPr>
            </w:pPr>
            <w:r>
              <w:rPr>
                <w:rFonts w:hint="eastAsia"/>
                <w:b/>
                <w:sz w:val="21"/>
                <w:szCs w:val="21"/>
              </w:rPr>
              <w:t>3225.76</w:t>
            </w:r>
          </w:p>
        </w:tc>
        <w:tc>
          <w:tcPr>
            <w:tcW w:w="1134"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b/>
                <w:sz w:val="21"/>
                <w:szCs w:val="21"/>
              </w:rPr>
            </w:pPr>
          </w:p>
        </w:tc>
        <w:tc>
          <w:tcPr>
            <w:tcW w:w="993"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b/>
                <w:sz w:val="21"/>
                <w:szCs w:val="21"/>
              </w:rPr>
            </w:pPr>
            <w:r>
              <w:rPr>
                <w:rFonts w:hint="eastAsia"/>
                <w:b/>
                <w:sz w:val="21"/>
                <w:szCs w:val="21"/>
              </w:rPr>
              <w:t>/</w:t>
            </w:r>
          </w:p>
        </w:tc>
        <w:tc>
          <w:tcPr>
            <w:tcW w:w="708"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b/>
                <w:sz w:val="21"/>
                <w:szCs w:val="21"/>
              </w:rPr>
            </w:pPr>
          </w:p>
        </w:tc>
        <w:tc>
          <w:tcPr>
            <w:tcW w:w="1276"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b/>
                <w:sz w:val="21"/>
                <w:szCs w:val="21"/>
              </w:rPr>
            </w:pPr>
          </w:p>
        </w:tc>
        <w:tc>
          <w:tcPr>
            <w:tcW w:w="1134" w:type="dxa"/>
            <w:vMerge w:val="continue"/>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b/>
                <w:sz w:val="21"/>
                <w:szCs w:val="21"/>
              </w:rPr>
            </w:pPr>
          </w:p>
        </w:tc>
      </w:tr>
    </w:tbl>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ind w:firstLine="465"/>
        <w:textAlignment w:val="auto"/>
        <w:rPr>
          <w:rFonts w:hint="eastAsia"/>
        </w:rPr>
      </w:pPr>
      <w:r>
        <w:rPr>
          <w:rFonts w:hint="eastAsia"/>
          <w:b/>
        </w:rPr>
        <w:t>注：</w:t>
      </w:r>
      <w:r>
        <w:rPr>
          <w:rFonts w:hint="eastAsia"/>
        </w:rPr>
        <w:t>标的物以实物现状为准，委托双方不承担拍卖标的的瑕疵担保责任。竞买人在报名登记前必须仔细审看拍卖标的，一旦作出竞买决定并成交，即表明本人接受拍卖标的之一切现状，愿意承担法律责任，并且不得以任何理由提出退还标的物或拒付拍卖成交款。</w:t>
      </w:r>
    </w:p>
    <w:p>
      <w:pPr>
        <w:keepNext w:val="0"/>
        <w:keepLines w:val="0"/>
        <w:pageBreakBefore w:val="0"/>
        <w:tabs>
          <w:tab w:val="left" w:pos="1995"/>
        </w:tabs>
        <w:kinsoku/>
        <w:wordWrap/>
        <w:overflowPunct/>
        <w:topLinePunct w:val="0"/>
        <w:autoSpaceDE/>
        <w:autoSpaceDN/>
        <w:bidi w:val="0"/>
        <w:adjustRightInd/>
        <w:spacing w:line="400" w:lineRule="exact"/>
        <w:ind w:firstLine="479" w:firstLineChars="199"/>
        <w:textAlignment w:val="auto"/>
        <w:rPr>
          <w:rFonts w:hint="eastAsia" w:ascii="宋体" w:hAnsi="宋体"/>
          <w:b/>
          <w:sz w:val="24"/>
        </w:rPr>
      </w:pPr>
      <w:r>
        <w:rPr>
          <w:rFonts w:hint="eastAsia" w:ascii="宋体" w:hAnsi="宋体"/>
          <w:b/>
          <w:sz w:val="24"/>
        </w:rPr>
        <w:t>第五条  标的物特别说明</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sz w:val="24"/>
        </w:rPr>
      </w:pPr>
      <w:r>
        <w:rPr>
          <w:rFonts w:hint="eastAsia" w:ascii="宋体" w:hAnsi="宋体"/>
          <w:sz w:val="24"/>
        </w:rPr>
        <w:t xml:space="preserve">   （一）签订《房屋租赁合同》时由买受人向委托人支付</w:t>
      </w:r>
      <w:r>
        <w:rPr>
          <w:rFonts w:hint="eastAsia" w:ascii="宋体" w:hAnsi="宋体"/>
          <w:b/>
          <w:sz w:val="24"/>
        </w:rPr>
        <w:t>履约保证金：</w:t>
      </w:r>
      <w:r>
        <w:rPr>
          <w:rFonts w:hint="eastAsia" w:ascii="宋体" w:hAnsi="宋体"/>
          <w:bCs/>
          <w:sz w:val="24"/>
        </w:rPr>
        <w:t>人民币100000元。履约保证金收取后，委托人应向买受人开具收款凭证。待租赁期届满或非因买</w:t>
      </w:r>
      <w:r>
        <w:rPr>
          <w:rFonts w:hint="eastAsia" w:ascii="宋体" w:hAnsi="宋体"/>
          <w:sz w:val="24"/>
        </w:rPr>
        <w:t>受人违约合同解除时，租赁双方无纠纷，由委托人一次性退还（按交款当日银行同期活期存款利率计息）。</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租赁期间，买受人使用标的物所发生的水、电、通信、有线电视、物业管理费等日常费用由买受人承担，并及时缴清。</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宋体"/>
          <w:color w:val="000000"/>
          <w:kern w:val="0"/>
          <w:sz w:val="24"/>
        </w:rPr>
      </w:pPr>
      <w:r>
        <w:rPr>
          <w:rFonts w:hint="eastAsia" w:cs="宋体"/>
          <w:color w:val="000000"/>
          <w:kern w:val="0"/>
          <w:sz w:val="24"/>
        </w:rPr>
        <w:t>电梯维修保养费用：2号电梯</w:t>
      </w:r>
      <w:r>
        <w:rPr>
          <w:rFonts w:hint="eastAsia" w:cs="宋体"/>
          <w:color w:val="000000"/>
          <w:kern w:val="0"/>
          <w:sz w:val="24"/>
          <w:lang w:eastAsia="zh-CN"/>
        </w:rPr>
        <w:t>（西大厅北首</w:t>
      </w:r>
      <w:r>
        <w:rPr>
          <w:rFonts w:hint="eastAsia" w:cs="宋体"/>
          <w:color w:val="000000"/>
          <w:kern w:val="0"/>
          <w:sz w:val="24"/>
          <w:lang w:val="en-US" w:eastAsia="zh-CN"/>
        </w:rPr>
        <w:t>4楼专用电梯</w:t>
      </w:r>
      <w:r>
        <w:rPr>
          <w:rFonts w:hint="eastAsia" w:cs="宋体"/>
          <w:color w:val="000000"/>
          <w:kern w:val="0"/>
          <w:sz w:val="24"/>
          <w:lang w:eastAsia="zh-CN"/>
        </w:rPr>
        <w:t>）</w:t>
      </w:r>
      <w:r>
        <w:rPr>
          <w:rFonts w:hint="eastAsia" w:cs="宋体"/>
          <w:color w:val="000000"/>
          <w:kern w:val="0"/>
          <w:sz w:val="24"/>
        </w:rPr>
        <w:t>归买受人单独使用，该电梯的维修保养</w:t>
      </w:r>
      <w:r>
        <w:rPr>
          <w:rFonts w:hint="eastAsia" w:cs="宋体"/>
          <w:color w:val="000000"/>
          <w:kern w:val="0"/>
          <w:sz w:val="24"/>
          <w:lang w:eastAsia="zh-CN"/>
        </w:rPr>
        <w:t>、安全检查、年审年检等相关运行</w:t>
      </w:r>
      <w:r>
        <w:rPr>
          <w:rFonts w:hint="eastAsia" w:cs="宋体"/>
          <w:color w:val="000000"/>
          <w:kern w:val="0"/>
          <w:sz w:val="24"/>
        </w:rPr>
        <w:t>费用全部由买受人承担；4号电梯为</w:t>
      </w:r>
      <w:r>
        <w:rPr>
          <w:rFonts w:hint="eastAsia" w:cs="宋体"/>
          <w:color w:val="000000"/>
          <w:kern w:val="0"/>
          <w:sz w:val="24"/>
          <w:lang w:eastAsia="zh-CN"/>
        </w:rPr>
        <w:t>共</w:t>
      </w:r>
      <w:r>
        <w:rPr>
          <w:rFonts w:hint="eastAsia" w:cs="宋体"/>
          <w:color w:val="000000"/>
          <w:kern w:val="0"/>
          <w:sz w:val="24"/>
        </w:rPr>
        <w:t>用电梯，须与其他承租户共同承担4号电梯</w:t>
      </w:r>
      <w:r>
        <w:rPr>
          <w:rFonts w:hint="eastAsia" w:cs="宋体"/>
          <w:color w:val="000000"/>
          <w:kern w:val="0"/>
          <w:sz w:val="24"/>
          <w:lang w:eastAsia="zh-CN"/>
        </w:rPr>
        <w:t>（自地下车库到五楼的东侧垂直电梯）</w:t>
      </w:r>
      <w:r>
        <w:rPr>
          <w:rFonts w:hint="eastAsia" w:cs="宋体"/>
          <w:color w:val="000000"/>
          <w:kern w:val="0"/>
          <w:sz w:val="24"/>
        </w:rPr>
        <w:t>的维修保养</w:t>
      </w:r>
      <w:r>
        <w:rPr>
          <w:rFonts w:hint="eastAsia" w:cs="宋体"/>
          <w:color w:val="000000"/>
          <w:kern w:val="0"/>
          <w:sz w:val="24"/>
          <w:lang w:eastAsia="zh-CN"/>
        </w:rPr>
        <w:t>、安全检查、年审年检等相关运行</w:t>
      </w:r>
      <w:r>
        <w:rPr>
          <w:rFonts w:hint="eastAsia" w:cs="宋体"/>
          <w:color w:val="000000"/>
          <w:kern w:val="0"/>
          <w:sz w:val="24"/>
        </w:rPr>
        <w:t>费用，具体事项自行协商，委托人只负责协调（与三层承租户的租赁协议中明确该电梯属于</w:t>
      </w:r>
      <w:r>
        <w:rPr>
          <w:rFonts w:hint="eastAsia" w:cs="宋体"/>
          <w:color w:val="000000"/>
          <w:kern w:val="0"/>
          <w:sz w:val="24"/>
          <w:lang w:eastAsia="zh-CN"/>
        </w:rPr>
        <w:t>共</w:t>
      </w:r>
      <w:r>
        <w:rPr>
          <w:rFonts w:hint="eastAsia" w:cs="宋体"/>
          <w:color w:val="000000"/>
          <w:kern w:val="0"/>
          <w:sz w:val="24"/>
        </w:rPr>
        <w:t>用电梯）。</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kern w:val="0"/>
          <w:sz w:val="24"/>
        </w:rPr>
      </w:pPr>
      <w:r>
        <w:rPr>
          <w:rFonts w:hint="eastAsia" w:ascii="宋体" w:hAnsi="宋体"/>
          <w:sz w:val="24"/>
        </w:rPr>
        <w:t>如遇买受人拖欠租金、水电等费用及发生其他等违约情形时，委托人有权从履约保证金中扣除相应费用，如遇履约保证金不足时，买受人应及时补足（接委托人通知后在3日内补足），否则委托人有权终止合同且追究买受人违约责任</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sz w:val="24"/>
        </w:rPr>
      </w:pPr>
      <w:r>
        <w:rPr>
          <w:rFonts w:hint="eastAsia" w:ascii="宋体" w:hAnsi="宋体"/>
          <w:sz w:val="24"/>
        </w:rPr>
        <w:t xml:space="preserve">   （二）租金实行按年支付、先付后用的原则</w:t>
      </w:r>
      <w:r>
        <w:rPr>
          <w:rFonts w:hint="eastAsia" w:ascii="Calibri" w:hAnsi="Calibri" w:cs="Calibri"/>
          <w:kern w:val="0"/>
          <w:sz w:val="24"/>
        </w:rPr>
        <w:t>，自第</w:t>
      </w:r>
      <w:r>
        <w:rPr>
          <w:rFonts w:hint="eastAsia" w:ascii="宋体" w:hAnsi="宋体" w:cs="宋体"/>
          <w:kern w:val="0"/>
          <w:sz w:val="24"/>
        </w:rPr>
        <w:t>2</w:t>
      </w:r>
      <w:r>
        <w:rPr>
          <w:rFonts w:hint="eastAsia" w:ascii="Calibri" w:hAnsi="Calibri" w:cs="Calibri"/>
          <w:kern w:val="0"/>
          <w:sz w:val="24"/>
        </w:rPr>
        <w:t>个承租年度起</w:t>
      </w:r>
      <w:r>
        <w:rPr>
          <w:rFonts w:hint="eastAsia" w:ascii="宋体" w:hAnsi="宋体"/>
          <w:sz w:val="24"/>
        </w:rPr>
        <w:t>买受人应提前1个月将下一承租年度租金交至委托人处；若买受人不及时交纳逾期满2个月，委托人有权提前解除合同、收回标的物，并且不予退还履约保证金。</w:t>
      </w:r>
    </w:p>
    <w:p>
      <w:pPr>
        <w:keepNext w:val="0"/>
        <w:keepLines w:val="0"/>
        <w:pageBreakBefore w:val="0"/>
        <w:numPr>
          <w:ilvl w:val="0"/>
          <w:numId w:val="1"/>
        </w:numPr>
        <w:kinsoku/>
        <w:wordWrap/>
        <w:overflowPunct/>
        <w:topLinePunct w:val="0"/>
        <w:autoSpaceDE/>
        <w:autoSpaceDN/>
        <w:bidi w:val="0"/>
        <w:adjustRightInd/>
        <w:spacing w:line="400" w:lineRule="exact"/>
        <w:textAlignment w:val="auto"/>
        <w:rPr>
          <w:rFonts w:hint="eastAsia" w:ascii="宋体" w:hAnsi="宋体"/>
          <w:sz w:val="24"/>
        </w:rPr>
      </w:pPr>
      <w:r>
        <w:rPr>
          <w:rFonts w:hint="eastAsia" w:ascii="宋体" w:hAnsi="宋体"/>
          <w:b/>
          <w:bCs/>
          <w:sz w:val="24"/>
        </w:rPr>
        <w:t>免租金装修期：</w:t>
      </w:r>
      <w:r>
        <w:rPr>
          <w:rFonts w:hint="eastAsia" w:ascii="宋体" w:hAnsi="宋体"/>
          <w:b/>
          <w:bCs/>
          <w:color w:val="000000"/>
          <w:sz w:val="24"/>
        </w:rPr>
        <w:t>40日</w:t>
      </w:r>
      <w:r>
        <w:rPr>
          <w:rFonts w:hint="eastAsia" w:ascii="宋体" w:hAnsi="宋体"/>
          <w:b/>
          <w:bCs/>
          <w:sz w:val="24"/>
        </w:rPr>
        <w:t>。</w:t>
      </w:r>
      <w:r>
        <w:rPr>
          <w:rFonts w:hint="eastAsia" w:ascii="宋体" w:hAnsi="宋体"/>
          <w:sz w:val="24"/>
        </w:rPr>
        <w:t>起始时间为签订《房屋租赁合同》次日。</w:t>
      </w:r>
    </w:p>
    <w:p>
      <w:pPr>
        <w:keepNext w:val="0"/>
        <w:keepLines w:val="0"/>
        <w:pageBreakBefore w:val="0"/>
        <w:tabs>
          <w:tab w:val="left" w:pos="1995"/>
        </w:tabs>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装修期内，买受人须支付物业管理费、水电费等其他租赁合同约定的费用，并应遵守租赁合同项下的各项义务。</w:t>
      </w:r>
    </w:p>
    <w:p>
      <w:pPr>
        <w:keepNext w:val="0"/>
        <w:keepLines w:val="0"/>
        <w:pageBreakBefore w:val="0"/>
        <w:widowControl/>
        <w:tabs>
          <w:tab w:val="left" w:pos="1995"/>
        </w:tabs>
        <w:kinsoku/>
        <w:wordWrap/>
        <w:overflowPunct/>
        <w:topLinePunct w:val="0"/>
        <w:autoSpaceDE/>
        <w:autoSpaceDN/>
        <w:bidi w:val="0"/>
        <w:adjustRightInd/>
        <w:spacing w:line="400" w:lineRule="exact"/>
        <w:ind w:firstLine="360" w:firstLineChars="150"/>
        <w:jc w:val="left"/>
        <w:textAlignment w:val="auto"/>
        <w:rPr>
          <w:rFonts w:hint="eastAsia" w:ascii="宋体" w:hAnsi="宋体"/>
          <w:sz w:val="24"/>
        </w:rPr>
      </w:pPr>
      <w:r>
        <w:rPr>
          <w:rFonts w:hint="eastAsia" w:cs="宋体"/>
          <w:sz w:val="24"/>
        </w:rPr>
        <w:t>（四）</w:t>
      </w:r>
      <w:r>
        <w:rPr>
          <w:rFonts w:hint="eastAsia" w:ascii="宋体" w:hAnsi="宋体"/>
          <w:b/>
          <w:sz w:val="24"/>
        </w:rPr>
        <w:t>租金起计日：</w:t>
      </w:r>
      <w:r>
        <w:rPr>
          <w:rFonts w:hint="eastAsia" w:ascii="宋体" w:hAnsi="宋体"/>
          <w:sz w:val="24"/>
        </w:rPr>
        <w:t>免租金装修期满次日起。自该日起，不论买受人是否正式使用标的物，均应当向委托人支付租金。</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sz w:val="24"/>
        </w:rPr>
      </w:pPr>
      <w:r>
        <w:rPr>
          <w:rFonts w:hint="eastAsia" w:ascii="宋体" w:hAnsi="宋体"/>
          <w:sz w:val="24"/>
        </w:rPr>
        <w:t xml:space="preserve">   （五）买受人不得在标的物内任意改变主体结构，需对标的物进行装修改造的，须提前向委托人书面申报并提交装修设计图，并由买受人报送相关技术等部门，特别是消防等职能部门审批同意后，方可对标的物按规定进行装修，由此产生的费用（包括但不限于现有垃圾清运、废旧物品搬运及无用装饰物拆除等费用）和责任均由买受人承担。买受人在装修期间须谨慎作业、安全施工，确保各项安全措施，尽量降低对相邻租户和周边居民、企事业单位的影响。</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sz w:val="24"/>
        </w:rPr>
      </w:pPr>
      <w:r>
        <w:rPr>
          <w:rFonts w:hint="eastAsia" w:ascii="宋体" w:hAnsi="宋体"/>
          <w:sz w:val="24"/>
        </w:rPr>
        <w:t xml:space="preserve">   （六）委托人仅提供标的物给买受人使用，涉及经营的相关证照由买受人自行向有关部门申请办理，涉及的各项税费等由买受人自行承担，与委托人无涉。如因建设、消防、环保、卫生、</w:t>
      </w:r>
      <w:r>
        <w:rPr>
          <w:rFonts w:ascii="宋体" w:hAnsi="宋体"/>
          <w:sz w:val="24"/>
        </w:rPr>
        <w:t>市场监督管理、城市综合管理</w:t>
      </w:r>
      <w:r>
        <w:rPr>
          <w:rFonts w:hint="eastAsia" w:ascii="宋体" w:hAnsi="宋体"/>
          <w:sz w:val="24"/>
        </w:rPr>
        <w:t>或者不可抗力等因素导致买受人无法开业或者营业的，委托人不负任何责任。</w:t>
      </w:r>
    </w:p>
    <w:p>
      <w:pPr>
        <w:pStyle w:val="2"/>
        <w:keepNext w:val="0"/>
        <w:keepLines w:val="0"/>
        <w:pageBreakBefore w:val="0"/>
        <w:shd w:val="clear" w:color="auto" w:fill="FFFFFF"/>
        <w:kinsoku/>
        <w:wordWrap/>
        <w:overflowPunct/>
        <w:topLinePunct w:val="0"/>
        <w:autoSpaceDE/>
        <w:autoSpaceDN/>
        <w:bidi w:val="0"/>
        <w:adjustRightInd/>
        <w:spacing w:beforeAutospacing="0" w:afterAutospacing="0" w:line="400" w:lineRule="exact"/>
        <w:textAlignment w:val="auto"/>
        <w:rPr>
          <w:rFonts w:hint="eastAsia" w:cs="宋体"/>
        </w:rPr>
      </w:pPr>
      <w:r>
        <w:rPr>
          <w:rFonts w:hint="eastAsia" w:cs="宋体"/>
        </w:rPr>
        <w:t xml:space="preserve">   （七）</w:t>
      </w:r>
      <w:r>
        <w:rPr>
          <w:rFonts w:hint="eastAsia" w:cs="宋体"/>
          <w:bCs/>
        </w:rPr>
        <w:t>买受人对标的物的使用必须符合法律、法规等相关规定，且不得从事影响周边环境及危害房屋安全的经营活动</w:t>
      </w:r>
      <w:r>
        <w:rPr>
          <w:rFonts w:hint="eastAsia"/>
          <w:shd w:val="clear" w:color="auto" w:fill="FFFFFF"/>
        </w:rPr>
        <w:t>，</w:t>
      </w:r>
      <w:r>
        <w:rPr>
          <w:rFonts w:hint="eastAsia"/>
        </w:rPr>
        <w:t>并保证在租赁期间严格遵守国家和委托人有关房屋使用的规定。</w:t>
      </w:r>
    </w:p>
    <w:p>
      <w:pPr>
        <w:pStyle w:val="2"/>
        <w:keepNext w:val="0"/>
        <w:keepLines w:val="0"/>
        <w:pageBreakBefore w:val="0"/>
        <w:shd w:val="clear" w:color="auto" w:fill="FFFFFF"/>
        <w:kinsoku/>
        <w:wordWrap/>
        <w:overflowPunct/>
        <w:topLinePunct w:val="0"/>
        <w:autoSpaceDE/>
        <w:autoSpaceDN/>
        <w:bidi w:val="0"/>
        <w:adjustRightInd/>
        <w:spacing w:beforeAutospacing="0" w:afterAutospacing="0" w:line="400" w:lineRule="exact"/>
        <w:textAlignment w:val="auto"/>
        <w:rPr>
          <w:rFonts w:hint="eastAsia" w:cs="宋体"/>
        </w:rPr>
      </w:pPr>
      <w:r>
        <w:rPr>
          <w:rFonts w:hint="eastAsia" w:cs="宋体"/>
        </w:rPr>
        <w:t xml:space="preserve">   （八）五层锅炉房由其他租户承租，买受人在标的物使用期间须预留通道供工作人员进出。</w:t>
      </w:r>
    </w:p>
    <w:p>
      <w:pPr>
        <w:pStyle w:val="2"/>
        <w:keepNext w:val="0"/>
        <w:keepLines w:val="0"/>
        <w:pageBreakBefore w:val="0"/>
        <w:shd w:val="clear" w:color="auto" w:fill="FFFFFF"/>
        <w:kinsoku/>
        <w:wordWrap/>
        <w:overflowPunct/>
        <w:topLinePunct w:val="0"/>
        <w:autoSpaceDE/>
        <w:autoSpaceDN/>
        <w:bidi w:val="0"/>
        <w:adjustRightInd/>
        <w:spacing w:beforeAutospacing="0" w:afterAutospacing="0" w:line="400" w:lineRule="exact"/>
        <w:textAlignment w:val="auto"/>
        <w:rPr>
          <w:rFonts w:hint="eastAsia" w:cs="宋体"/>
        </w:rPr>
      </w:pPr>
      <w:r>
        <w:rPr>
          <w:rFonts w:hint="eastAsia"/>
        </w:rPr>
        <w:t xml:space="preserve">   （九）因标的物内现有配备的水、电设施尚未单独开户，买受人需自行向相关部门申请安装，委托人予以协助，在办理过程中涉及的一切费用、责任均由买受人承担。待租赁合同终止或者解除时，买受人搬离标的物时不得拆除前述的水电设施，且委托人不作任何补偿。</w:t>
      </w:r>
    </w:p>
    <w:p>
      <w:pPr>
        <w:keepNext w:val="0"/>
        <w:keepLines w:val="0"/>
        <w:pageBreakBefore w:val="0"/>
        <w:widowControl/>
        <w:tabs>
          <w:tab w:val="left" w:pos="1995"/>
        </w:tabs>
        <w:kinsoku/>
        <w:wordWrap/>
        <w:overflowPunct/>
        <w:topLinePunct w:val="0"/>
        <w:autoSpaceDE/>
        <w:autoSpaceDN/>
        <w:bidi w:val="0"/>
        <w:adjustRightInd/>
        <w:spacing w:line="400" w:lineRule="exact"/>
        <w:ind w:firstLine="360" w:firstLineChars="150"/>
        <w:jc w:val="left"/>
        <w:textAlignment w:val="auto"/>
        <w:rPr>
          <w:rFonts w:hint="eastAsia"/>
          <w:sz w:val="24"/>
        </w:rPr>
      </w:pPr>
      <w:r>
        <w:rPr>
          <w:rFonts w:hint="eastAsia"/>
          <w:sz w:val="24"/>
        </w:rPr>
        <w:t>（十）买受人应严格按照有关部门管理规定做好消防、环保、安全、卫生等相关工作，制定切实可行的制度，确保标的物的安全。因工作措施不到位而产生责任事故的，该事故责任及经济损失（包括第三人的人身损害和财产经济损害）由</w:t>
      </w:r>
      <w:r>
        <w:rPr>
          <w:rFonts w:hint="eastAsia" w:ascii="宋体" w:hAnsi="宋体"/>
          <w:sz w:val="24"/>
        </w:rPr>
        <w:t>买受人</w:t>
      </w:r>
      <w:r>
        <w:rPr>
          <w:rFonts w:hint="eastAsia"/>
          <w:sz w:val="24"/>
        </w:rPr>
        <w:t>承担，与委托人无涉。给委托人造成损失的，委托人有权从履约保证金中予以扣除。</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kern w:val="0"/>
          <w:sz w:val="24"/>
        </w:rPr>
      </w:pPr>
      <w:r>
        <w:rPr>
          <w:rFonts w:hint="eastAsia" w:ascii="宋体" w:hAnsi="宋体" w:cs="宋体"/>
          <w:kern w:val="0"/>
          <w:sz w:val="24"/>
        </w:rPr>
        <w:t xml:space="preserve">   （十一）未经委托人书面同意，买受人不得将标的物擅自转租、转借、分租或以其他方式变相转租给他人使用，一经发现，委托人有权提前解除合同、收回标的物，并且不予退还履约保证金。</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sz w:val="24"/>
        </w:rPr>
      </w:pPr>
      <w:r>
        <w:rPr>
          <w:rFonts w:hint="eastAsia" w:ascii="宋体" w:hAnsi="宋体"/>
          <w:sz w:val="24"/>
        </w:rPr>
        <w:t xml:space="preserve">    如遇特殊情况确需进行退租的，则买受人须提前2个月向委托人提出书面申请，经委托人书面同意后，方可办理退租手续，剩余已付租金（租期不足1个月的按1个月收取租金）和履约保证金予以退还，但租赁期不满1年的，则履约保证金不予退还。</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sz w:val="24"/>
        </w:rPr>
      </w:pPr>
      <w:r>
        <w:rPr>
          <w:rFonts w:hint="eastAsia" w:ascii="宋体" w:hAnsi="宋体"/>
          <w:sz w:val="24"/>
        </w:rPr>
        <w:t xml:space="preserve">   （十二）买受人须做好疫情防控规定的相关要求，积极配合相关部门的检查，不得利用标的物进行违法活动。</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sz w:val="24"/>
        </w:rPr>
      </w:pPr>
      <w:r>
        <w:rPr>
          <w:rFonts w:hint="eastAsia" w:ascii="宋体" w:hAnsi="宋体" w:cs="宋体"/>
          <w:kern w:val="0"/>
          <w:sz w:val="24"/>
        </w:rPr>
        <w:t>（十三）如遇政府规划调整等原因须提前收回标的物的，委托人有权解除合同，但须至少提前2个月书面通知买受人；买受人应无条件服从并及时归还标的物，委托人不承担任何形式的补偿。剩余租金（从买受人实际归还标的物之日起，按日计算）和履约保证金予以返还。</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cs="宋体"/>
          <w:kern w:val="0"/>
          <w:sz w:val="24"/>
        </w:rPr>
      </w:pPr>
      <w:r>
        <w:rPr>
          <w:rFonts w:hint="eastAsia" w:ascii="宋体" w:hAnsi="宋体" w:cs="宋体"/>
          <w:kern w:val="0"/>
          <w:sz w:val="24"/>
        </w:rPr>
        <w:t>（十四）</w:t>
      </w:r>
      <w:r>
        <w:rPr>
          <w:rFonts w:hint="eastAsia" w:ascii="宋体" w:hAnsi="宋体"/>
          <w:sz w:val="24"/>
        </w:rPr>
        <w:t>租赁期届满或合同解除时，买受人返还标的物时应当符合正常使用后的状态。返还时，应经委托人验收认可，并互相结清各自应当承担的费用。买受人有权将投资的动产自行处理，固定装饰物（指装饰在固定建筑物上，与建筑物不可分离的部分，包括中央空调）所有权归委托人所有，买受人不得拆除，且委托人不作任何经济补偿。买受人搬迁期限为租赁期届满或合同解除后10日以内，如逾期未搬的，委托人有权按废弃物予以处理。</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cs="宋体"/>
          <w:kern w:val="0"/>
          <w:sz w:val="24"/>
        </w:rPr>
      </w:pPr>
      <w:r>
        <w:rPr>
          <w:rFonts w:hint="eastAsia" w:ascii="宋体" w:hAnsi="宋体" w:cs="宋体"/>
          <w:kern w:val="0"/>
          <w:sz w:val="24"/>
        </w:rPr>
        <w:t xml:space="preserve"> 买受人逾期归还标的物的，委托人有权按原租金标准的2倍向买受人收取占用费，且委托人有权随时收回标的物并且不予退还履约保证金。</w:t>
      </w:r>
    </w:p>
    <w:p>
      <w:pPr>
        <w:keepNext w:val="0"/>
        <w:keepLines w:val="0"/>
        <w:pageBreakBefore w:val="0"/>
        <w:kinsoku/>
        <w:wordWrap/>
        <w:overflowPunct/>
        <w:topLinePunct w:val="0"/>
        <w:autoSpaceDE/>
        <w:autoSpaceDN/>
        <w:bidi w:val="0"/>
        <w:adjustRightInd/>
        <w:spacing w:before="93" w:beforeLines="30" w:after="93" w:afterLines="30" w:line="400" w:lineRule="exact"/>
        <w:jc w:val="center"/>
        <w:textAlignment w:val="auto"/>
        <w:rPr>
          <w:rFonts w:hint="eastAsia" w:ascii="宋体" w:hAnsi="宋体"/>
          <w:b/>
          <w:sz w:val="24"/>
        </w:rPr>
      </w:pPr>
      <w:r>
        <w:rPr>
          <w:rFonts w:hint="eastAsia" w:ascii="宋体" w:hAnsi="宋体"/>
          <w:b/>
          <w:sz w:val="24"/>
        </w:rPr>
        <w:t>拍卖前期活动</w:t>
      </w:r>
    </w:p>
    <w:p>
      <w:pPr>
        <w:keepNext w:val="0"/>
        <w:keepLines w:val="0"/>
        <w:pageBreakBefore w:val="0"/>
        <w:tabs>
          <w:tab w:val="left" w:pos="1995"/>
        </w:tabs>
        <w:kinsoku/>
        <w:wordWrap/>
        <w:overflowPunct/>
        <w:topLinePunct w:val="0"/>
        <w:autoSpaceDE/>
        <w:autoSpaceDN/>
        <w:bidi w:val="0"/>
        <w:adjustRightInd/>
        <w:spacing w:line="400" w:lineRule="exact"/>
        <w:ind w:firstLine="482" w:firstLineChars="200"/>
        <w:textAlignment w:val="auto"/>
        <w:rPr>
          <w:rFonts w:hint="eastAsia"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确定可参拍的对象。竞买人必须符合相关法律法规及竞买人资格条件的规定；按时、足额交纳竞买保证金；提交相关资料；办理报名登记手续，方可参加本次拍卖。拍卖人在拍卖活动任何阶段，有权拒绝不符合本次拍卖资格条件的竞买人参加本次拍卖活动或解除其拍卖成交的法律关系，并追究其相应的法律责任。</w:t>
      </w:r>
    </w:p>
    <w:p>
      <w:pPr>
        <w:keepNext w:val="0"/>
        <w:keepLines w:val="0"/>
        <w:pageBreakBefore w:val="0"/>
        <w:tabs>
          <w:tab w:val="left" w:pos="1995"/>
        </w:tabs>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若拍卖文件需要修正或补充的，拍卖人可以在举行拍卖会之前书面告知竞买人。竞买人一经参拍或应价的，均视为已接受此修正或补充。</w:t>
      </w:r>
    </w:p>
    <w:p>
      <w:pPr>
        <w:keepNext w:val="0"/>
        <w:keepLines w:val="0"/>
        <w:pageBreakBefore w:val="0"/>
        <w:tabs>
          <w:tab w:val="left" w:pos="1995"/>
        </w:tabs>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在拍卖会举行前，如委托人决定中止、暂缓或终止委托拍卖的，则竞买人应当无条件的予以接受，交纳的竞买保证金予以退还（按银行同期活期存款利率计息），委托人和拍卖人不承担竞买人的一切损失。</w:t>
      </w:r>
    </w:p>
    <w:p>
      <w:pPr>
        <w:keepNext w:val="0"/>
        <w:keepLines w:val="0"/>
        <w:pageBreakBefore w:val="0"/>
        <w:tabs>
          <w:tab w:val="left" w:pos="1995"/>
        </w:tabs>
        <w:kinsoku/>
        <w:wordWrap/>
        <w:overflowPunct/>
        <w:topLinePunct w:val="0"/>
        <w:autoSpaceDE/>
        <w:autoSpaceDN/>
        <w:bidi w:val="0"/>
        <w:adjustRightInd/>
        <w:spacing w:line="400" w:lineRule="exact"/>
        <w:ind w:firstLine="479" w:firstLineChars="199"/>
        <w:textAlignment w:val="auto"/>
        <w:rPr>
          <w:rFonts w:hint="eastAsia" w:ascii="宋体" w:hAnsi="宋体"/>
          <w:sz w:val="24"/>
        </w:rPr>
      </w:pPr>
      <w:r>
        <w:rPr>
          <w:rFonts w:hint="eastAsia" w:ascii="宋体" w:hAnsi="宋体"/>
          <w:b/>
          <w:sz w:val="24"/>
        </w:rPr>
        <w:t>第七条</w:t>
      </w:r>
      <w:r>
        <w:rPr>
          <w:rFonts w:hint="eastAsia" w:ascii="宋体" w:hAnsi="宋体"/>
          <w:sz w:val="24"/>
        </w:rPr>
        <w:t xml:space="preserve">  竞买人应在报名登记前按时、足额交纳竞买保证金（按银行同期活期存款利率计息）。</w:t>
      </w:r>
    </w:p>
    <w:p>
      <w:pPr>
        <w:keepNext w:val="0"/>
        <w:keepLines w:val="0"/>
        <w:pageBreakBefore w:val="0"/>
        <w:kinsoku/>
        <w:wordWrap/>
        <w:overflowPunct/>
        <w:topLinePunct w:val="0"/>
        <w:autoSpaceDE/>
        <w:autoSpaceDN/>
        <w:bidi w:val="0"/>
        <w:adjustRightInd/>
        <w:spacing w:line="400" w:lineRule="exact"/>
        <w:ind w:firstLine="360" w:firstLineChars="150"/>
        <w:textAlignment w:val="auto"/>
        <w:rPr>
          <w:rFonts w:hint="eastAsia"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360"/>
        <w:jc w:val="left"/>
        <w:textAlignment w:val="auto"/>
        <w:rPr>
          <w:rFonts w:hint="eastAsia" w:ascii="宋体" w:hAnsi="宋体"/>
          <w:sz w:val="24"/>
        </w:rPr>
      </w:pPr>
      <w:r>
        <w:rPr>
          <w:rFonts w:hint="eastAsia" w:ascii="宋体" w:hAnsi="宋体"/>
          <w:sz w:val="24"/>
        </w:rPr>
        <w:t>（二）竞买人（即其后的买受人）保证在拍得标的物后，按本《拍卖须知》的要求履行其全部义务，否则属违约：拍卖人有权对买受人的竞买保证金冲作违约金，不予退还，并取消该标的物所在场次的竞买资格。</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360"/>
        <w:jc w:val="left"/>
        <w:textAlignment w:val="auto"/>
        <w:rPr>
          <w:rFonts w:hint="eastAsia" w:ascii="微软雅黑" w:hAnsi="微软雅黑" w:cs="宋体"/>
          <w:b/>
          <w:kern w:val="0"/>
          <w:sz w:val="24"/>
        </w:rPr>
      </w:pPr>
      <w:r>
        <w:rPr>
          <w:rFonts w:ascii="微软雅黑" w:hAnsi="微软雅黑" w:cs="宋体"/>
          <w:b/>
          <w:kern w:val="0"/>
          <w:sz w:val="24"/>
        </w:rPr>
        <w:t>（三）网络竞价中由于可能存在的计算机病毒、网络通讯故障、系统维护等方面的因素以及可能发生的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kinsoku/>
        <w:wordWrap/>
        <w:overflowPunct/>
        <w:topLinePunct w:val="0"/>
        <w:autoSpaceDE/>
        <w:autoSpaceDN/>
        <w:bidi w:val="0"/>
        <w:adjustRightInd/>
        <w:spacing w:before="93" w:beforeLines="30" w:after="93" w:afterLines="30" w:line="400" w:lineRule="exact"/>
        <w:jc w:val="center"/>
        <w:textAlignment w:val="auto"/>
        <w:rPr>
          <w:rFonts w:hint="eastAsia" w:ascii="宋体" w:hAnsi="宋体"/>
          <w:b/>
          <w:sz w:val="24"/>
        </w:rPr>
      </w:pPr>
      <w:r>
        <w:rPr>
          <w:rFonts w:hint="eastAsia" w:ascii="宋体" w:hAnsi="宋体"/>
          <w:b/>
          <w:sz w:val="24"/>
        </w:rPr>
        <w:t>网上竞买</w:t>
      </w:r>
    </w:p>
    <w:p>
      <w:pPr>
        <w:keepNext w:val="0"/>
        <w:keepLines w:val="0"/>
        <w:pageBreakBefore w:val="0"/>
        <w:widowControl/>
        <w:kinsoku/>
        <w:wordWrap/>
        <w:overflowPunct/>
        <w:topLinePunct w:val="0"/>
        <w:autoSpaceDE/>
        <w:autoSpaceDN/>
        <w:bidi w:val="0"/>
        <w:adjustRightInd/>
        <w:snapToGrid w:val="0"/>
        <w:spacing w:line="400" w:lineRule="exact"/>
        <w:ind w:firstLine="482"/>
        <w:jc w:val="left"/>
        <w:textAlignment w:val="auto"/>
        <w:rPr>
          <w:rFonts w:hint="eastAsia" w:ascii="宋体" w:hAnsi="宋体"/>
          <w:sz w:val="24"/>
        </w:rPr>
      </w:pPr>
      <w:r>
        <w:rPr>
          <w:rFonts w:ascii="宋体" w:hAnsi="宋体"/>
          <w:b/>
          <w:bCs/>
          <w:sz w:val="24"/>
        </w:rPr>
        <w:t>第</w:t>
      </w:r>
      <w:r>
        <w:rPr>
          <w:rFonts w:hint="eastAsia" w:ascii="宋体" w:hAnsi="宋体"/>
          <w:b/>
          <w:bCs/>
          <w:sz w:val="24"/>
        </w:rPr>
        <w:t>八</w:t>
      </w:r>
      <w:r>
        <w:rPr>
          <w:rFonts w:ascii="宋体" w:hAnsi="宋体"/>
          <w:b/>
          <w:bCs/>
          <w:sz w:val="24"/>
        </w:rPr>
        <w:t>条</w:t>
      </w:r>
      <w:r>
        <w:rPr>
          <w:rFonts w:ascii="宋体" w:hAnsi="宋体"/>
          <w:sz w:val="24"/>
        </w:rPr>
        <w:t xml:space="preserve"> </w:t>
      </w:r>
      <w:r>
        <w:rPr>
          <w:rFonts w:hint="eastAsia" w:ascii="宋体" w:hAnsi="宋体"/>
          <w:sz w:val="24"/>
        </w:rPr>
        <w:t xml:space="preserve"> </w:t>
      </w:r>
      <w:r>
        <w:rPr>
          <w:rFonts w:ascii="宋体" w:hAnsi="宋体"/>
          <w:sz w:val="24"/>
        </w:rPr>
        <w:t>本次拍卖经过报刊、网络公告、实地展示，在“</w:t>
      </w:r>
      <w:r>
        <w:rPr>
          <w:rFonts w:hint="eastAsia" w:ascii="宋体" w:hAnsi="宋体"/>
          <w:sz w:val="24"/>
        </w:rPr>
        <w:t>宁波阳明拍卖有限公司</w:t>
      </w:r>
      <w:r>
        <w:rPr>
          <w:rFonts w:ascii="宋体" w:hAnsi="宋体"/>
          <w:sz w:val="24"/>
        </w:rPr>
        <w:t>网</w:t>
      </w:r>
      <w:r>
        <w:rPr>
          <w:rFonts w:hint="eastAsia" w:ascii="宋体" w:hAnsi="宋体"/>
          <w:sz w:val="24"/>
        </w:rPr>
        <w:t>络拍卖</w:t>
      </w:r>
      <w:r>
        <w:rPr>
          <w:rFonts w:ascii="宋体" w:hAnsi="宋体"/>
          <w:sz w:val="24"/>
        </w:rPr>
        <w:t>平台”进行公开拍卖。拍卖计价货币为人民币，拍卖时的起拍价、成交价均</w:t>
      </w:r>
      <w:r>
        <w:rPr>
          <w:rFonts w:hint="eastAsia" w:ascii="宋体" w:hAnsi="宋体"/>
          <w:sz w:val="24"/>
        </w:rPr>
        <w:t>为裸价，</w:t>
      </w:r>
      <w:r>
        <w:rPr>
          <w:rFonts w:ascii="宋体" w:hAnsi="宋体"/>
          <w:sz w:val="24"/>
        </w:rPr>
        <w:t>不包含</w:t>
      </w:r>
      <w:r>
        <w:rPr>
          <w:rFonts w:hint="eastAsia" w:ascii="宋体" w:hAnsi="宋体"/>
          <w:sz w:val="24"/>
        </w:rPr>
        <w:t>任何</w:t>
      </w:r>
      <w:r>
        <w:rPr>
          <w:rFonts w:ascii="宋体" w:hAnsi="宋体"/>
          <w:sz w:val="24"/>
        </w:rPr>
        <w:t>税、费及</w:t>
      </w:r>
      <w:r>
        <w:rPr>
          <w:rFonts w:hint="eastAsia" w:ascii="宋体" w:hAnsi="宋体"/>
          <w:sz w:val="24"/>
        </w:rPr>
        <w:t>买受</w:t>
      </w:r>
      <w:r>
        <w:rPr>
          <w:rFonts w:ascii="宋体" w:hAnsi="宋体"/>
          <w:sz w:val="24"/>
        </w:rPr>
        <w:t>佣金。</w:t>
      </w:r>
    </w:p>
    <w:p>
      <w:pPr>
        <w:keepNext w:val="0"/>
        <w:keepLines w:val="0"/>
        <w:pageBreakBefore w:val="0"/>
        <w:widowControl/>
        <w:kinsoku/>
        <w:wordWrap/>
        <w:overflowPunct/>
        <w:topLinePunct w:val="0"/>
        <w:autoSpaceDE/>
        <w:autoSpaceDN/>
        <w:bidi w:val="0"/>
        <w:adjustRightInd/>
        <w:snapToGrid w:val="0"/>
        <w:spacing w:line="400" w:lineRule="exact"/>
        <w:ind w:firstLine="482"/>
        <w:jc w:val="left"/>
        <w:textAlignment w:val="auto"/>
        <w:rPr>
          <w:rFonts w:hint="eastAsia"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pPr>
        <w:keepNext w:val="0"/>
        <w:keepLines w:val="0"/>
        <w:pageBreakBefore w:val="0"/>
        <w:widowControl/>
        <w:kinsoku/>
        <w:wordWrap/>
        <w:overflowPunct/>
        <w:topLinePunct w:val="0"/>
        <w:autoSpaceDE/>
        <w:autoSpaceDN/>
        <w:bidi w:val="0"/>
        <w:adjustRightInd/>
        <w:snapToGrid w:val="0"/>
        <w:spacing w:line="400" w:lineRule="exact"/>
        <w:ind w:firstLine="482"/>
        <w:jc w:val="left"/>
        <w:textAlignment w:val="auto"/>
        <w:rPr>
          <w:rFonts w:hint="eastAsia" w:ascii="宋体" w:hAnsi="宋体"/>
          <w:sz w:val="24"/>
        </w:rPr>
      </w:pPr>
      <w:r>
        <w:rPr>
          <w:rFonts w:hint="eastAsia" w:ascii="宋体" w:hAnsi="宋体"/>
          <w:color w:val="000000"/>
          <w:sz w:val="24"/>
        </w:rPr>
        <w:t>本次拍卖采用“网上竞价”的方式，价高者得的原则，在规定报名时间内须有效报名竞买人2名及以上，且至少1名竞买人有效出价，方可成交。</w:t>
      </w:r>
      <w:r>
        <w:rPr>
          <w:rFonts w:hint="eastAsia" w:ascii="宋体" w:hAnsi="宋体"/>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keepNext w:val="0"/>
        <w:keepLines w:val="0"/>
        <w:pageBreakBefore w:val="0"/>
        <w:kinsoku/>
        <w:wordWrap/>
        <w:overflowPunct/>
        <w:topLinePunct w:val="0"/>
        <w:autoSpaceDE/>
        <w:autoSpaceDN/>
        <w:bidi w:val="0"/>
        <w:adjustRightInd/>
        <w:spacing w:line="400" w:lineRule="exact"/>
        <w:textAlignment w:val="auto"/>
        <w:rPr>
          <w:rFonts w:ascii="宋体" w:hAnsi="宋体"/>
          <w:sz w:val="24"/>
        </w:rPr>
      </w:pPr>
      <w:r>
        <w:rPr>
          <w:rFonts w:hint="eastAsia" w:ascii="宋体" w:hAnsi="宋体"/>
          <w:sz w:val="24"/>
        </w:rPr>
        <w:t xml:space="preserve">    </w:t>
      </w:r>
      <w:r>
        <w:rPr>
          <w:rFonts w:ascii="宋体" w:hAnsi="宋体"/>
          <w:b/>
          <w:bCs/>
          <w:sz w:val="24"/>
        </w:rPr>
        <w:t>第</w:t>
      </w:r>
      <w:r>
        <w:rPr>
          <w:rFonts w:hint="eastAsia" w:ascii="宋体" w:hAnsi="宋体"/>
          <w:b/>
          <w:bCs/>
          <w:sz w:val="24"/>
        </w:rPr>
        <w:t>九</w:t>
      </w:r>
      <w:r>
        <w:rPr>
          <w:rFonts w:ascii="宋体" w:hAnsi="宋体"/>
          <w:b/>
          <w:bCs/>
          <w:sz w:val="24"/>
        </w:rPr>
        <w:t>条</w:t>
      </w:r>
      <w:r>
        <w:rPr>
          <w:rFonts w:hint="eastAsia" w:ascii="宋体" w:hAnsi="宋体"/>
          <w:b/>
          <w:bCs/>
          <w:sz w:val="24"/>
        </w:rPr>
        <w:t xml:space="preserve"> </w:t>
      </w:r>
      <w:r>
        <w:rPr>
          <w:rFonts w:ascii="宋体" w:hAnsi="宋体"/>
          <w:sz w:val="24"/>
        </w:rPr>
        <w:t xml:space="preserve"> </w:t>
      </w:r>
      <w:r>
        <w:rPr>
          <w:rFonts w:ascii="微软雅黑" w:hAnsi="微软雅黑" w:cs="宋体"/>
          <w:color w:val="000000"/>
          <w:kern w:val="0"/>
          <w:sz w:val="24"/>
        </w:rPr>
        <w:t>买受人须在成交当日</w:t>
      </w:r>
      <w:r>
        <w:rPr>
          <w:rFonts w:hint="eastAsia" w:ascii="微软雅黑" w:hAnsi="微软雅黑" w:cs="宋体"/>
          <w:color w:val="000000"/>
          <w:kern w:val="0"/>
          <w:sz w:val="24"/>
        </w:rPr>
        <w:t>（截止下午</w:t>
      </w:r>
      <w:r>
        <w:rPr>
          <w:rFonts w:hint="eastAsia" w:ascii="宋体" w:hAnsi="宋体" w:cs="宋体"/>
          <w:color w:val="000000"/>
          <w:kern w:val="0"/>
          <w:sz w:val="24"/>
        </w:rPr>
        <w:t>5</w:t>
      </w:r>
      <w:r>
        <w:rPr>
          <w:rFonts w:hint="eastAsia" w:ascii="微软雅黑" w:hAnsi="微软雅黑" w:cs="宋体"/>
          <w:color w:val="000000"/>
          <w:kern w:val="0"/>
          <w:sz w:val="24"/>
        </w:rPr>
        <w:t>时）</w:t>
      </w:r>
      <w:r>
        <w:rPr>
          <w:rFonts w:ascii="微软雅黑" w:hAnsi="微软雅黑" w:cs="宋体"/>
          <w:color w:val="000000"/>
          <w:kern w:val="0"/>
          <w:sz w:val="24"/>
        </w:rPr>
        <w:t>到</w:t>
      </w:r>
      <w:r>
        <w:rPr>
          <w:rFonts w:hint="eastAsia" w:ascii="宋体" w:hAnsi="宋体"/>
          <w:sz w:val="24"/>
        </w:rPr>
        <w:t>拍卖人处</w:t>
      </w:r>
      <w:r>
        <w:rPr>
          <w:rFonts w:ascii="宋体" w:hAnsi="宋体"/>
          <w:sz w:val="24"/>
        </w:rPr>
        <w:t>签署</w:t>
      </w:r>
      <w:r>
        <w:rPr>
          <w:rFonts w:hint="eastAsia" w:ascii="宋体" w:hAnsi="宋体"/>
          <w:sz w:val="24"/>
        </w:rPr>
        <w:t>《</w:t>
      </w:r>
      <w:r>
        <w:rPr>
          <w:rFonts w:ascii="宋体" w:hAnsi="宋体"/>
          <w:sz w:val="24"/>
        </w:rPr>
        <w:t>拍卖成交确认书</w:t>
      </w:r>
      <w:r>
        <w:rPr>
          <w:rFonts w:hint="eastAsia" w:ascii="宋体" w:hAnsi="宋体"/>
          <w:sz w:val="24"/>
        </w:rPr>
        <w:t>》</w:t>
      </w:r>
      <w:r>
        <w:rPr>
          <w:rFonts w:ascii="宋体" w:hAnsi="宋体"/>
          <w:sz w:val="24"/>
        </w:rPr>
        <w:t>并在</w:t>
      </w:r>
      <w:r>
        <w:rPr>
          <w:rFonts w:hint="eastAsia" w:ascii="宋体" w:hAnsi="宋体"/>
          <w:sz w:val="24"/>
        </w:rPr>
        <w:t>《竞价记录》</w:t>
      </w:r>
      <w:r>
        <w:rPr>
          <w:rFonts w:ascii="宋体" w:hAnsi="宋体"/>
          <w:sz w:val="24"/>
        </w:rPr>
        <w:t>上签名或盖章</w:t>
      </w:r>
      <w:r>
        <w:rPr>
          <w:rFonts w:ascii="微软雅黑" w:hAnsi="微软雅黑" w:cs="宋体"/>
          <w:kern w:val="0"/>
          <w:sz w:val="24"/>
        </w:rPr>
        <w:t>。</w:t>
      </w:r>
      <w:r>
        <w:rPr>
          <w:rFonts w:hint="eastAsia" w:ascii="宋体" w:hAnsi="宋体"/>
          <w:sz w:val="24"/>
        </w:rPr>
        <w:t>上述文件不论</w:t>
      </w:r>
      <w:r>
        <w:rPr>
          <w:rFonts w:ascii="微软雅黑" w:hAnsi="微软雅黑" w:cs="宋体"/>
          <w:color w:val="000000"/>
          <w:kern w:val="0"/>
          <w:sz w:val="24"/>
        </w:rPr>
        <w:t>买受人</w:t>
      </w:r>
      <w:r>
        <w:rPr>
          <w:rFonts w:hint="eastAsia" w:ascii="宋体" w:hAnsi="宋体"/>
          <w:sz w:val="24"/>
        </w:rPr>
        <w:t>是否签署，其全部条款即对</w:t>
      </w:r>
      <w:r>
        <w:rPr>
          <w:rFonts w:ascii="微软雅黑" w:hAnsi="微软雅黑" w:cs="宋体"/>
          <w:color w:val="000000"/>
          <w:kern w:val="0"/>
          <w:sz w:val="24"/>
        </w:rPr>
        <w:t>买受人</w:t>
      </w:r>
      <w:r>
        <w:rPr>
          <w:rFonts w:hint="eastAsia" w:ascii="宋体" w:hAnsi="宋体"/>
          <w:sz w:val="24"/>
        </w:rPr>
        <w:t>产生约束力并生效。如事后反悔，竞买保证金将冲作违约金不予退还，并按《拍卖法》第三十九条规定，追究违约责任</w:t>
      </w:r>
      <w:r>
        <w:rPr>
          <w:rFonts w:ascii="宋体" w:hAnsi="宋体"/>
          <w:sz w:val="24"/>
        </w:rPr>
        <w:t>。</w:t>
      </w:r>
    </w:p>
    <w:p>
      <w:pPr>
        <w:keepNext w:val="0"/>
        <w:keepLines w:val="0"/>
        <w:pageBreakBefore w:val="0"/>
        <w:widowControl/>
        <w:kinsoku/>
        <w:wordWrap/>
        <w:overflowPunct/>
        <w:topLinePunct w:val="0"/>
        <w:autoSpaceDE/>
        <w:autoSpaceDN/>
        <w:bidi w:val="0"/>
        <w:adjustRightInd/>
        <w:snapToGrid w:val="0"/>
        <w:spacing w:line="400" w:lineRule="exact"/>
        <w:ind w:firstLine="482"/>
        <w:jc w:val="left"/>
        <w:textAlignment w:val="auto"/>
        <w:rPr>
          <w:rFonts w:ascii="宋体" w:hAnsi="宋体"/>
          <w:sz w:val="24"/>
        </w:rPr>
      </w:pPr>
      <w:r>
        <w:rPr>
          <w:rFonts w:ascii="宋体" w:hAnsi="宋体"/>
          <w:sz w:val="24"/>
        </w:rPr>
        <w:t>《拍卖法》第三十九条：买受人应当按照约定支付拍卖标的的价款，未按照约定支付价款的，应当承担违约责任，或者由拍卖人征得委托人的同意，将拍卖标的再行拍卖。</w:t>
      </w:r>
      <w:r>
        <w:rPr>
          <w:rFonts w:ascii="宋体" w:hAnsi="宋体"/>
          <w:sz w:val="24"/>
        </w:rPr>
        <w:br w:type="textWrapping"/>
      </w:r>
      <w:r>
        <w:rPr>
          <w:rFonts w:hint="eastAsia" w:ascii="宋体" w:hAnsi="宋体"/>
          <w:sz w:val="24"/>
        </w:rPr>
        <w:t xml:space="preserve">    </w:t>
      </w:r>
      <w:r>
        <w:rPr>
          <w:rFonts w:ascii="宋体" w:hAnsi="宋体"/>
          <w:sz w:val="24"/>
        </w:rPr>
        <w:t>拍卖标的再行拍卖的，原买受人应当支付第一次拍卖中本人及委托人应当支付的佣金。再行拍卖的价款低于原拍卖价款的，原买受人应当补足差额。</w:t>
      </w:r>
    </w:p>
    <w:p>
      <w:pPr>
        <w:keepNext w:val="0"/>
        <w:keepLines w:val="0"/>
        <w:pageBreakBefore w:val="0"/>
        <w:widowControl/>
        <w:kinsoku/>
        <w:wordWrap/>
        <w:overflowPunct/>
        <w:topLinePunct w:val="0"/>
        <w:autoSpaceDE/>
        <w:autoSpaceDN/>
        <w:bidi w:val="0"/>
        <w:adjustRightInd/>
        <w:snapToGrid w:val="0"/>
        <w:spacing w:line="400" w:lineRule="exact"/>
        <w:ind w:firstLine="482"/>
        <w:jc w:val="left"/>
        <w:textAlignment w:val="auto"/>
        <w:rPr>
          <w:rFonts w:ascii="宋体" w:hAnsi="宋体"/>
          <w:b/>
          <w:bCs/>
          <w:sz w:val="24"/>
        </w:rPr>
      </w:pPr>
      <w:r>
        <w:rPr>
          <w:rFonts w:ascii="宋体" w:hAnsi="宋体"/>
          <w:b/>
          <w:bCs/>
          <w:sz w:val="24"/>
        </w:rPr>
        <w:t xml:space="preserve">第十条 </w:t>
      </w:r>
      <w:r>
        <w:rPr>
          <w:rFonts w:hint="eastAsia" w:ascii="宋体" w:hAnsi="宋体"/>
          <w:b/>
          <w:bCs/>
          <w:sz w:val="24"/>
        </w:rPr>
        <w:t xml:space="preserve"> </w:t>
      </w:r>
      <w:r>
        <w:rPr>
          <w:rFonts w:ascii="宋体" w:hAnsi="宋体"/>
          <w:b/>
          <w:bCs/>
          <w:sz w:val="24"/>
        </w:rPr>
        <w:t>特别注意事项：用户的网站注册人名称必须与竞买保证金交纳人名称、买受人名称一致，否则造成的损失和后果由竞买人自行承担，与拍卖人、委托人无关。</w:t>
      </w:r>
    </w:p>
    <w:p>
      <w:pPr>
        <w:keepNext w:val="0"/>
        <w:keepLines w:val="0"/>
        <w:pageBreakBefore w:val="0"/>
        <w:kinsoku/>
        <w:wordWrap/>
        <w:overflowPunct/>
        <w:topLinePunct w:val="0"/>
        <w:autoSpaceDE/>
        <w:autoSpaceDN/>
        <w:bidi w:val="0"/>
        <w:adjustRightInd/>
        <w:spacing w:before="93" w:beforeLines="30" w:after="93" w:afterLines="30" w:line="400" w:lineRule="exact"/>
        <w:jc w:val="center"/>
        <w:textAlignment w:val="auto"/>
        <w:rPr>
          <w:rFonts w:hint="eastAsia" w:ascii="宋体" w:hAnsi="宋体"/>
          <w:b/>
          <w:sz w:val="24"/>
        </w:rPr>
      </w:pPr>
      <w:r>
        <w:rPr>
          <w:rFonts w:hint="eastAsia" w:ascii="宋体" w:hAnsi="宋体"/>
          <w:b/>
          <w:sz w:val="24"/>
        </w:rPr>
        <w:t>拍卖后期工作</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cs="宋体"/>
          <w:kern w:val="0"/>
          <w:sz w:val="24"/>
        </w:rPr>
      </w:pPr>
      <w:r>
        <w:rPr>
          <w:rFonts w:hint="eastAsia" w:ascii="宋体" w:hAnsi="宋体"/>
          <w:b/>
          <w:sz w:val="24"/>
        </w:rPr>
        <w:t xml:space="preserve">第十一条 </w:t>
      </w:r>
      <w:r>
        <w:rPr>
          <w:rFonts w:hint="eastAsia" w:ascii="宋体" w:hAnsi="宋体" w:cs="宋体"/>
          <w:kern w:val="0"/>
          <w:sz w:val="24"/>
        </w:rPr>
        <w:t>拍卖会结束后，由拍卖人当场向买受人发放《拍卖成交确认书》。</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000000"/>
          <w:kern w:val="0"/>
          <w:sz w:val="24"/>
        </w:rPr>
      </w:pPr>
      <w:r>
        <w:rPr>
          <w:rFonts w:hint="eastAsia" w:ascii="宋体" w:hAnsi="宋体" w:cs="宋体"/>
          <w:kern w:val="0"/>
          <w:sz w:val="24"/>
        </w:rPr>
        <w:t>未竞得拍卖标的的竞买人，在拍卖会结束后的3个工作日内，由拍卖人凭竞买人报名时登记的户名及账号退还竞买保证金（按银行同期活期存款利率计息）；</w:t>
      </w:r>
      <w:r>
        <w:rPr>
          <w:rFonts w:ascii="宋体" w:hAnsi="宋体" w:cs="宋体"/>
          <w:color w:val="000000"/>
          <w:kern w:val="0"/>
          <w:sz w:val="24"/>
        </w:rPr>
        <w:t>买受人的竞买保证金</w:t>
      </w:r>
      <w:r>
        <w:rPr>
          <w:rFonts w:hint="eastAsia" w:ascii="宋体" w:hAnsi="宋体" w:cs="宋体"/>
          <w:color w:val="000000"/>
          <w:kern w:val="0"/>
          <w:sz w:val="24"/>
        </w:rPr>
        <w:t>凭</w:t>
      </w:r>
      <w:r>
        <w:rPr>
          <w:rFonts w:ascii="宋体" w:hAnsi="宋体" w:cs="宋体"/>
          <w:color w:val="000000"/>
          <w:kern w:val="0"/>
          <w:sz w:val="24"/>
        </w:rPr>
        <w:t>《房屋租赁合同》</w:t>
      </w:r>
      <w:r>
        <w:rPr>
          <w:rFonts w:hint="eastAsia" w:ascii="宋体" w:hAnsi="宋体" w:cs="宋体"/>
          <w:color w:val="000000"/>
          <w:kern w:val="0"/>
          <w:sz w:val="24"/>
        </w:rPr>
        <w:t>复印件到拍卖人处退还（按银行同期活期存款利率计息）。</w:t>
      </w:r>
    </w:p>
    <w:p>
      <w:pPr>
        <w:keepNext w:val="0"/>
        <w:keepLines w:val="0"/>
        <w:pageBreakBefore w:val="0"/>
        <w:kinsoku/>
        <w:wordWrap/>
        <w:overflowPunct/>
        <w:topLinePunct w:val="0"/>
        <w:autoSpaceDE/>
        <w:autoSpaceDN/>
        <w:bidi w:val="0"/>
        <w:adjustRightInd/>
        <w:spacing w:line="400" w:lineRule="exact"/>
        <w:ind w:firstLine="460" w:firstLineChars="192"/>
        <w:textAlignment w:val="auto"/>
        <w:rPr>
          <w:rFonts w:hint="eastAsia" w:ascii="宋体" w:hAnsi="宋体"/>
          <w:sz w:val="24"/>
        </w:rPr>
      </w:pPr>
      <w:r>
        <w:rPr>
          <w:rFonts w:hint="eastAsia" w:ascii="宋体" w:hAnsi="宋体" w:cs="宋体"/>
          <w:kern w:val="0"/>
          <w:sz w:val="24"/>
        </w:rPr>
        <w:t>如未收到竞买保证金的，请及时与拍卖人联系（</w:t>
      </w:r>
      <w:r>
        <w:rPr>
          <w:rFonts w:ascii="宋体" w:hAnsi="宋体" w:cs="宋体"/>
          <w:color w:val="000000"/>
          <w:kern w:val="0"/>
          <w:sz w:val="24"/>
        </w:rPr>
        <w:t>0574－</w:t>
      </w:r>
      <w:r>
        <w:rPr>
          <w:rFonts w:hint="eastAsia" w:ascii="宋体" w:hAnsi="宋体" w:cs="宋体"/>
          <w:color w:val="000000"/>
          <w:kern w:val="0"/>
          <w:sz w:val="24"/>
        </w:rPr>
        <w:t>62727901</w:t>
      </w:r>
      <w:r>
        <w:rPr>
          <w:rFonts w:hint="eastAsia" w:ascii="宋体" w:hAnsi="宋体" w:cs="宋体"/>
          <w:kern w:val="0"/>
          <w:sz w:val="24"/>
        </w:rPr>
        <w:t>）</w:t>
      </w:r>
      <w:r>
        <w:rPr>
          <w:rFonts w:hint="eastAsia" w:ascii="宋体" w:hAnsi="宋体"/>
          <w:sz w:val="24"/>
        </w:rPr>
        <w:t>。</w:t>
      </w:r>
    </w:p>
    <w:p>
      <w:pPr>
        <w:keepNext w:val="0"/>
        <w:keepLines w:val="0"/>
        <w:pageBreakBefore w:val="0"/>
        <w:kinsoku/>
        <w:wordWrap/>
        <w:overflowPunct/>
        <w:topLinePunct w:val="0"/>
        <w:autoSpaceDE/>
        <w:autoSpaceDN/>
        <w:bidi w:val="0"/>
        <w:adjustRightInd/>
        <w:spacing w:line="400" w:lineRule="exact"/>
        <w:ind w:firstLine="463" w:firstLineChars="192"/>
        <w:textAlignment w:val="auto"/>
        <w:rPr>
          <w:rFonts w:ascii="宋体" w:hAnsi="宋体"/>
          <w:b/>
          <w:bCs/>
          <w:sz w:val="24"/>
        </w:rPr>
      </w:pPr>
      <w:r>
        <w:rPr>
          <w:rFonts w:hint="eastAsia" w:ascii="宋体" w:hAnsi="宋体" w:cs="宋体"/>
          <w:b/>
          <w:kern w:val="0"/>
          <w:sz w:val="24"/>
        </w:rPr>
        <w:t>第十二条  付款办法及签约时间：</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000000"/>
          <w:kern w:val="0"/>
          <w:sz w:val="24"/>
        </w:rPr>
      </w:pPr>
      <w:r>
        <w:rPr>
          <w:rFonts w:hint="eastAsia" w:ascii="宋体" w:hAnsi="宋体" w:cs="宋体"/>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w:t>
      </w:r>
      <w:r>
        <w:rPr>
          <w:rFonts w:hint="eastAsia" w:ascii="宋体" w:hAnsi="宋体" w:cs="宋体"/>
          <w:color w:val="000000"/>
          <w:kern w:val="0"/>
          <w:sz w:val="24"/>
        </w:rPr>
        <w:t>22</w:t>
      </w:r>
      <w:r>
        <w:rPr>
          <w:rFonts w:ascii="宋体" w:hAnsi="宋体" w:cs="宋体"/>
          <w:color w:val="000000"/>
          <w:kern w:val="0"/>
          <w:sz w:val="24"/>
        </w:rPr>
        <w:t>年</w:t>
      </w:r>
      <w:r>
        <w:rPr>
          <w:rFonts w:hint="eastAsia" w:ascii="宋体" w:hAnsi="宋体" w:cs="宋体"/>
          <w:color w:val="000000"/>
          <w:kern w:val="0"/>
          <w:sz w:val="24"/>
          <w:lang w:val="en-US" w:eastAsia="zh-CN"/>
        </w:rPr>
        <w:t>2</w:t>
      </w:r>
      <w:r>
        <w:rPr>
          <w:rFonts w:ascii="宋体" w:hAnsi="宋体" w:cs="宋体"/>
          <w:color w:val="000000"/>
          <w:kern w:val="0"/>
          <w:sz w:val="24"/>
        </w:rPr>
        <w:t>月</w:t>
      </w:r>
      <w:r>
        <w:rPr>
          <w:rFonts w:hint="eastAsia" w:ascii="宋体" w:hAnsi="宋体" w:cs="宋体"/>
          <w:color w:val="000000"/>
          <w:kern w:val="0"/>
          <w:sz w:val="24"/>
          <w:lang w:val="en-US" w:eastAsia="zh-CN"/>
        </w:rPr>
        <w:t>10</w:t>
      </w:r>
      <w:r>
        <w:rPr>
          <w:rFonts w:ascii="宋体" w:hAnsi="宋体" w:cs="宋体"/>
          <w:color w:val="000000"/>
          <w:kern w:val="0"/>
          <w:sz w:val="24"/>
        </w:rPr>
        <w:t>日下午4时前</w:t>
      </w:r>
      <w:r>
        <w:rPr>
          <w:rFonts w:hint="eastAsia" w:ascii="宋体" w:hAnsi="宋体"/>
          <w:b/>
          <w:bCs/>
          <w:color w:val="000000"/>
          <w:sz w:val="24"/>
        </w:rPr>
        <w:t>（以实际到账为准）</w:t>
      </w:r>
      <w:r>
        <w:rPr>
          <w:rFonts w:ascii="宋体" w:hAnsi="宋体" w:cs="宋体"/>
          <w:color w:val="000000"/>
          <w:kern w:val="0"/>
          <w:sz w:val="24"/>
        </w:rPr>
        <w:t>向</w:t>
      </w:r>
      <w:r>
        <w:rPr>
          <w:rFonts w:hint="eastAsia" w:ascii="宋体" w:hAnsi="宋体" w:cs="宋体"/>
          <w:color w:val="000000"/>
          <w:kern w:val="0"/>
          <w:sz w:val="24"/>
        </w:rPr>
        <w:t>委托人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rPr>
        <w:t>、履约保证金并签订《房屋租赁合同》，同时向拍卖人支付8000元的</w:t>
      </w:r>
      <w:r>
        <w:rPr>
          <w:rFonts w:ascii="宋体" w:hAnsi="宋体" w:cs="宋体"/>
          <w:color w:val="000000"/>
          <w:kern w:val="0"/>
          <w:sz w:val="24"/>
        </w:rPr>
        <w:t>买受佣金</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cs="宋体"/>
          <w:b/>
          <w:color w:val="000000"/>
          <w:kern w:val="0"/>
          <w:sz w:val="24"/>
        </w:rPr>
      </w:pPr>
      <w:r>
        <w:rPr>
          <w:rFonts w:hint="eastAsia" w:ascii="宋体" w:hAnsi="宋体" w:cs="宋体"/>
          <w:b/>
          <w:color w:val="000000"/>
          <w:kern w:val="0"/>
          <w:sz w:val="24"/>
        </w:rPr>
        <w:t>租金和履约保证金请汇入委托人账户</w:t>
      </w:r>
      <w:r>
        <w:rPr>
          <w:rFonts w:hint="eastAsia"/>
          <w:sz w:val="24"/>
        </w:rPr>
        <w:t>（户名：宁波舜农集团有限公司</w:t>
      </w:r>
      <w:r>
        <w:rPr>
          <w:rFonts w:hint="eastAsia" w:ascii="宋体" w:hAnsi="宋体" w:cs="宋体"/>
          <w:kern w:val="0"/>
          <w:sz w:val="24"/>
        </w:rPr>
        <w:t>；</w:t>
      </w:r>
      <w:r>
        <w:rPr>
          <w:rFonts w:hint="eastAsia"/>
          <w:sz w:val="24"/>
        </w:rPr>
        <w:t>开户银行：中国工商银行股份有限公司余姚分行</w:t>
      </w:r>
      <w:r>
        <w:rPr>
          <w:rFonts w:hint="eastAsia" w:ascii="宋体" w:hAnsi="宋体" w:cs="宋体"/>
          <w:kern w:val="0"/>
          <w:sz w:val="24"/>
        </w:rPr>
        <w:t>；账号：3901310009001017108</w:t>
      </w:r>
      <w:r>
        <w:rPr>
          <w:rFonts w:hint="eastAsia" w:ascii="宋体" w:hAnsi="宋体"/>
          <w:sz w:val="24"/>
        </w:rPr>
        <w:t>）。</w:t>
      </w:r>
    </w:p>
    <w:p>
      <w:pPr>
        <w:keepNext w:val="0"/>
        <w:keepLines w:val="0"/>
        <w:pageBreakBefore w:val="0"/>
        <w:kinsoku/>
        <w:wordWrap/>
        <w:overflowPunct/>
        <w:topLinePunct w:val="0"/>
        <w:autoSpaceDE/>
        <w:autoSpaceDN/>
        <w:bidi w:val="0"/>
        <w:adjustRightInd/>
        <w:spacing w:line="400" w:lineRule="exact"/>
        <w:ind w:firstLine="472" w:firstLineChars="196"/>
        <w:jc w:val="left"/>
        <w:textAlignment w:val="auto"/>
        <w:rPr>
          <w:rFonts w:hint="eastAsia"/>
          <w:color w:val="000000"/>
          <w:sz w:val="24"/>
        </w:rPr>
      </w:pPr>
      <w:r>
        <w:rPr>
          <w:rFonts w:hint="eastAsia"/>
          <w:b/>
          <w:color w:val="000000"/>
          <w:sz w:val="24"/>
        </w:rPr>
        <w:t>买受佣金请汇入拍卖人账户</w:t>
      </w:r>
      <w:r>
        <w:rPr>
          <w:rFonts w:hint="eastAsia"/>
          <w:color w:val="000000"/>
          <w:sz w:val="24"/>
        </w:rPr>
        <w:t>（户名：宁波阳明拍卖有限公司；开户银行：宁波银行余姚支行；账号：</w:t>
      </w:r>
      <w:r>
        <w:rPr>
          <w:rFonts w:hint="eastAsia"/>
          <w:b/>
          <w:bCs/>
          <w:color w:val="000000"/>
          <w:sz w:val="24"/>
        </w:rPr>
        <w:t>61010122000609711</w:t>
      </w:r>
      <w:r>
        <w:rPr>
          <w:rFonts w:hint="eastAsia"/>
          <w:color w:val="000000"/>
          <w:sz w:val="24"/>
        </w:rPr>
        <w:t>）。</w:t>
      </w:r>
    </w:p>
    <w:p>
      <w:pPr>
        <w:keepNext w:val="0"/>
        <w:keepLines w:val="0"/>
        <w:pageBreakBefore w:val="0"/>
        <w:kinsoku/>
        <w:wordWrap/>
        <w:overflowPunct/>
        <w:topLinePunct w:val="0"/>
        <w:autoSpaceDE/>
        <w:autoSpaceDN/>
        <w:bidi w:val="0"/>
        <w:adjustRightInd/>
        <w:spacing w:line="400" w:lineRule="exact"/>
        <w:ind w:firstLine="472" w:firstLineChars="197"/>
        <w:textAlignment w:val="auto"/>
        <w:rPr>
          <w:rFonts w:hint="eastAsia" w:ascii="宋体" w:hAnsi="宋体"/>
          <w:bCs/>
          <w:sz w:val="24"/>
        </w:rPr>
      </w:pPr>
      <w:r>
        <w:rPr>
          <w:rFonts w:hint="eastAsia" w:ascii="宋体" w:hAnsi="宋体"/>
          <w:bCs/>
          <w:sz w:val="24"/>
        </w:rPr>
        <w:t>拍卖人仅出具买受佣金发票，其他相关票据由委托人提供。</w:t>
      </w:r>
    </w:p>
    <w:p>
      <w:pPr>
        <w:keepNext w:val="0"/>
        <w:keepLines w:val="0"/>
        <w:pageBreakBefore w:val="0"/>
        <w:kinsoku/>
        <w:wordWrap/>
        <w:overflowPunct/>
        <w:topLinePunct w:val="0"/>
        <w:autoSpaceDE/>
        <w:autoSpaceDN/>
        <w:bidi w:val="0"/>
        <w:adjustRightInd/>
        <w:spacing w:line="400" w:lineRule="exact"/>
        <w:ind w:firstLine="475" w:firstLineChars="197"/>
        <w:textAlignment w:val="auto"/>
        <w:rPr>
          <w:rFonts w:hint="eastAsia" w:ascii="宋体" w:hAnsi="宋体"/>
          <w:b/>
          <w:sz w:val="24"/>
        </w:rPr>
      </w:pPr>
      <w:r>
        <w:rPr>
          <w:rFonts w:hint="eastAsia" w:ascii="宋体" w:hAnsi="宋体"/>
          <w:b/>
          <w:sz w:val="24"/>
        </w:rPr>
        <w:t>买受人如未能按期足额支付上述款项或未签订《房屋租赁合同》的，均视为买受人自愿放弃成交标的物，属违约：竞买保证金自动转为违约金，将不予退还，并取消该标的物所在场次的竞买资格,且委托人有权按《拍卖法》第三十九条规定，追究违约责任。</w:t>
      </w:r>
    </w:p>
    <w:p>
      <w:pPr>
        <w:keepNext w:val="0"/>
        <w:keepLines w:val="0"/>
        <w:pageBreakBefore w:val="0"/>
        <w:kinsoku/>
        <w:wordWrap/>
        <w:overflowPunct/>
        <w:topLinePunct w:val="0"/>
        <w:autoSpaceDE/>
        <w:autoSpaceDN/>
        <w:bidi w:val="0"/>
        <w:adjustRightInd/>
        <w:spacing w:line="400" w:lineRule="exact"/>
        <w:ind w:firstLine="475" w:firstLineChars="197"/>
        <w:textAlignment w:val="auto"/>
        <w:rPr>
          <w:rFonts w:hint="eastAsia" w:ascii="宋体" w:hAnsi="宋体"/>
          <w:bCs/>
          <w:sz w:val="24"/>
        </w:rPr>
      </w:pPr>
      <w:r>
        <w:rPr>
          <w:rFonts w:hint="eastAsia" w:ascii="宋体" w:hAnsi="宋体"/>
          <w:b/>
          <w:sz w:val="24"/>
        </w:rPr>
        <w:t>第十三条  标的物交付：</w:t>
      </w:r>
      <w:r>
        <w:rPr>
          <w:rFonts w:hint="eastAsia" w:ascii="宋体" w:hAnsi="宋体"/>
          <w:sz w:val="24"/>
        </w:rPr>
        <w:t>签订《房屋租赁合同》后由委托人交付标的物给买受人</w:t>
      </w:r>
      <w:r>
        <w:rPr>
          <w:rFonts w:hint="eastAsia" w:ascii="宋体" w:hAnsi="宋体"/>
          <w:bCs/>
          <w:sz w:val="24"/>
        </w:rPr>
        <w:t>。</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ascii="宋体" w:hAnsi="宋体"/>
          <w:sz w:val="24"/>
        </w:rPr>
      </w:pPr>
      <w:r>
        <w:rPr>
          <w:rFonts w:hint="eastAsia" w:ascii="宋体" w:hAnsi="宋体"/>
          <w:b/>
          <w:sz w:val="24"/>
        </w:rPr>
        <w:t>第十四条  拍卖结果公告：</w:t>
      </w:r>
      <w:r>
        <w:rPr>
          <w:rFonts w:hint="eastAsia" w:ascii="宋体" w:hAnsi="宋体" w:cs="宋体"/>
          <w:color w:val="000000"/>
          <w:kern w:val="0"/>
          <w:sz w:val="24"/>
        </w:rPr>
        <w:t>《房屋租赁合同》生效后2个工作日内，由拍卖人将交易结果在宁波市公共资源交易网余姚市分网公告5个工作日。</w:t>
      </w:r>
    </w:p>
    <w:p>
      <w:pPr>
        <w:keepNext w:val="0"/>
        <w:keepLines w:val="0"/>
        <w:pageBreakBefore w:val="0"/>
        <w:kinsoku/>
        <w:wordWrap/>
        <w:overflowPunct/>
        <w:topLinePunct w:val="0"/>
        <w:autoSpaceDE/>
        <w:autoSpaceDN/>
        <w:bidi w:val="0"/>
        <w:adjustRightInd/>
        <w:spacing w:before="156" w:beforeLines="50" w:after="156" w:afterLines="50" w:line="400" w:lineRule="exact"/>
        <w:jc w:val="center"/>
        <w:textAlignment w:val="auto"/>
        <w:rPr>
          <w:rFonts w:hint="eastAsia" w:ascii="宋体" w:hAnsi="宋体"/>
          <w:b/>
          <w:sz w:val="28"/>
          <w:szCs w:val="28"/>
        </w:rPr>
      </w:pPr>
      <w:r>
        <w:rPr>
          <w:rFonts w:hint="eastAsia" w:ascii="宋体" w:hAnsi="宋体"/>
          <w:b/>
          <w:sz w:val="28"/>
          <w:szCs w:val="28"/>
        </w:rPr>
        <w:t>附 则</w:t>
      </w:r>
    </w:p>
    <w:p>
      <w:pPr>
        <w:keepNext w:val="0"/>
        <w:keepLines w:val="0"/>
        <w:pageBreakBefore w:val="0"/>
        <w:kinsoku/>
        <w:wordWrap/>
        <w:overflowPunct/>
        <w:topLinePunct w:val="0"/>
        <w:autoSpaceDE/>
        <w:autoSpaceDN/>
        <w:bidi w:val="0"/>
        <w:adjustRightInd/>
        <w:spacing w:line="40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rPr>
        <w:t>五</w:t>
      </w:r>
      <w:r>
        <w:rPr>
          <w:rFonts w:ascii="宋体" w:hAnsi="宋体" w:cs="宋体"/>
          <w:b/>
          <w:bCs/>
          <w:kern w:val="0"/>
          <w:sz w:val="24"/>
        </w:rPr>
        <w:t>条</w:t>
      </w:r>
      <w:r>
        <w:rPr>
          <w:rFonts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pPr>
        <w:keepNext w:val="0"/>
        <w:keepLines w:val="0"/>
        <w:pageBreakBefore w:val="0"/>
        <w:kinsoku/>
        <w:wordWrap/>
        <w:overflowPunct/>
        <w:topLinePunct w:val="0"/>
        <w:autoSpaceDE/>
        <w:autoSpaceDN/>
        <w:bidi w:val="0"/>
        <w:adjustRightInd/>
        <w:spacing w:line="40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rPr>
        <w:t>六</w:t>
      </w:r>
      <w:r>
        <w:rPr>
          <w:rFonts w:ascii="宋体" w:hAnsi="宋体" w:cs="宋体"/>
          <w:b/>
          <w:bCs/>
          <w:kern w:val="0"/>
          <w:sz w:val="24"/>
        </w:rPr>
        <w:t>条</w:t>
      </w:r>
      <w:r>
        <w:rPr>
          <w:rFonts w:ascii="宋体" w:hAnsi="宋体" w:cs="宋体"/>
          <w:kern w:val="0"/>
          <w:sz w:val="24"/>
        </w:rPr>
        <w:t xml:space="preserve"> 本须知解释权归本次拍卖活动的委托人、拍卖人所有。</w:t>
      </w:r>
      <w:r>
        <w:rPr>
          <w:rFonts w:hint="eastAsia" w:ascii="宋体" w:hAnsi="宋体" w:cs="宋体"/>
          <w:kern w:val="0"/>
          <w:sz w:val="24"/>
        </w:rPr>
        <w:t xml:space="preserve"> </w:t>
      </w:r>
    </w:p>
    <w:p>
      <w:pPr>
        <w:keepNext w:val="0"/>
        <w:keepLines w:val="0"/>
        <w:pageBreakBefore w:val="0"/>
        <w:tabs>
          <w:tab w:val="left" w:pos="5040"/>
          <w:tab w:val="left" w:pos="6480"/>
        </w:tabs>
        <w:kinsoku/>
        <w:wordWrap/>
        <w:overflowPunct/>
        <w:topLinePunct w:val="0"/>
        <w:autoSpaceDE/>
        <w:autoSpaceDN/>
        <w:bidi w:val="0"/>
        <w:adjustRightInd/>
        <w:snapToGrid w:val="0"/>
        <w:spacing w:line="400" w:lineRule="exact"/>
        <w:ind w:firstLine="720" w:firstLineChars="300"/>
        <w:jc w:val="right"/>
        <w:textAlignment w:val="auto"/>
        <w:rPr>
          <w:rFonts w:hint="eastAsia" w:ascii="宋体" w:hAnsi="宋体" w:cs="宋体"/>
          <w:kern w:val="0"/>
          <w:sz w:val="24"/>
        </w:rPr>
      </w:pPr>
      <w:bookmarkStart w:id="0" w:name="_GoBack"/>
      <w:bookmarkEnd w:id="0"/>
    </w:p>
    <w:p>
      <w:pPr>
        <w:keepNext w:val="0"/>
        <w:keepLines w:val="0"/>
        <w:pageBreakBefore w:val="0"/>
        <w:tabs>
          <w:tab w:val="left" w:pos="5040"/>
          <w:tab w:val="left" w:pos="6480"/>
        </w:tabs>
        <w:kinsoku/>
        <w:wordWrap/>
        <w:overflowPunct/>
        <w:topLinePunct w:val="0"/>
        <w:autoSpaceDE/>
        <w:autoSpaceDN/>
        <w:bidi w:val="0"/>
        <w:adjustRightInd/>
        <w:snapToGrid w:val="0"/>
        <w:spacing w:line="400" w:lineRule="exact"/>
        <w:ind w:firstLine="720" w:firstLineChars="300"/>
        <w:jc w:val="right"/>
        <w:textAlignment w:val="auto"/>
        <w:rPr>
          <w:rFonts w:hint="eastAsia" w:ascii="宋体" w:hAnsi="宋体" w:cs="宋体"/>
          <w:kern w:val="0"/>
          <w:sz w:val="24"/>
        </w:rPr>
      </w:pPr>
      <w:r>
        <w:rPr>
          <w:rFonts w:hint="eastAsia" w:ascii="宋体" w:hAnsi="宋体" w:cs="宋体"/>
          <w:kern w:val="0"/>
          <w:sz w:val="24"/>
        </w:rPr>
        <w:t xml:space="preserve"> 宁波阳明拍卖有限公司</w:t>
      </w:r>
    </w:p>
    <w:p>
      <w:pPr>
        <w:keepNext w:val="0"/>
        <w:keepLines w:val="0"/>
        <w:pageBreakBefore w:val="0"/>
        <w:kinsoku/>
        <w:wordWrap/>
        <w:overflowPunct/>
        <w:topLinePunct w:val="0"/>
        <w:autoSpaceDE/>
        <w:autoSpaceDN/>
        <w:bidi w:val="0"/>
        <w:adjustRightInd/>
        <w:spacing w:line="400" w:lineRule="exact"/>
        <w:jc w:val="right"/>
        <w:textAlignment w:val="auto"/>
      </w:pPr>
      <w:r>
        <w:rPr>
          <w:rFonts w:hint="eastAsia" w:ascii="宋体" w:hAnsi="宋体" w:cs="宋体"/>
          <w:kern w:val="0"/>
          <w:sz w:val="24"/>
        </w:rPr>
        <w:t xml:space="preserve">                                                   2022年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 xml:space="preserve">日 </w:t>
      </w:r>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1763B"/>
    <w:multiLevelType w:val="singleLevel"/>
    <w:tmpl w:val="6451763B"/>
    <w:lvl w:ilvl="0" w:tentative="0">
      <w:start w:val="3"/>
      <w:numFmt w:val="chineseCounting"/>
      <w:suff w:val="nothing"/>
      <w:lvlText w:val="（%1）"/>
      <w:lvlJc w:val="left"/>
      <w:pPr>
        <w:ind w:left="3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861163"/>
    <w:rsid w:val="71D0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2022-01-17T06:59:00Z</dcterms:created>
  <dc:creator>USER</dc:creator>
  <cp:lastModifiedBy>阳明拍卖</cp:lastModifiedBy>
  <dcterms:modified xsi:type="dcterms:W3CDTF">2022-01-17T07:16:02Z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06B0DE04835F451AAF678B2F1E10B26A</vt:lpwstr>
  </property>
</Properties>
</file>