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kern w:val="36"/>
          <w:sz w:val="32"/>
          <w:szCs w:val="32"/>
        </w:rPr>
      </w:pPr>
      <w:r>
        <w:rPr>
          <w:rFonts w:hint="eastAsia" w:ascii="宋体" w:hAnsi="宋体" w:cs="宋体"/>
          <w:b/>
          <w:kern w:val="36"/>
          <w:sz w:val="32"/>
          <w:szCs w:val="32"/>
        </w:rPr>
        <w:t>农村产权交易文件</w:t>
      </w:r>
    </w:p>
    <w:p>
      <w:pPr>
        <w:widowControl/>
        <w:shd w:val="clear" w:color="auto" w:fill="FFFFFF"/>
        <w:spacing w:line="480" w:lineRule="exact"/>
        <w:ind w:left="0" w:leftChars="0" w:firstLine="420" w:firstLineChars="175"/>
        <w:jc w:val="left"/>
        <w:rPr>
          <w:rFonts w:ascii="宋体" w:hAnsi="宋体" w:cs="Arial"/>
          <w:kern w:val="0"/>
          <w:sz w:val="24"/>
        </w:rPr>
      </w:pPr>
      <w:r>
        <w:rPr>
          <w:rFonts w:hint="eastAsia" w:ascii="宋体" w:hAnsi="宋体" w:cs="Arial"/>
          <w:kern w:val="0"/>
          <w:sz w:val="24"/>
          <w:u w:val="single"/>
        </w:rPr>
        <w:t>余姚市小曹娥镇滨海村股份经济合作社</w:t>
      </w:r>
      <w:r>
        <w:rPr>
          <w:rFonts w:hint="eastAsia" w:ascii="宋体" w:hAnsi="宋体" w:cs="Arial"/>
          <w:kern w:val="0"/>
          <w:sz w:val="24"/>
        </w:rPr>
        <w:t>定于</w:t>
      </w:r>
      <w:r>
        <w:rPr>
          <w:rFonts w:hint="eastAsia" w:ascii="宋体" w:hAnsi="宋体" w:cs="Arial"/>
          <w:kern w:val="0"/>
          <w:sz w:val="24"/>
          <w:lang w:val="en-US" w:eastAsia="zh-CN"/>
        </w:rPr>
        <w:t>2023</w:t>
      </w:r>
      <w:r>
        <w:rPr>
          <w:rFonts w:hint="eastAsia" w:ascii="宋体" w:hAnsi="宋体" w:cs="Arial"/>
          <w:b w:val="0"/>
          <w:bCs/>
          <w:kern w:val="0"/>
          <w:sz w:val="24"/>
        </w:rPr>
        <w:t>年</w:t>
      </w:r>
      <w:r>
        <w:rPr>
          <w:rFonts w:hint="eastAsia" w:ascii="宋体" w:hAnsi="宋体" w:cs="Arial"/>
          <w:b w:val="0"/>
          <w:bCs/>
          <w:kern w:val="0"/>
          <w:sz w:val="24"/>
          <w:lang w:val="en-US" w:eastAsia="zh-CN"/>
        </w:rPr>
        <w:t>5</w:t>
      </w:r>
      <w:r>
        <w:rPr>
          <w:rFonts w:hint="eastAsia" w:ascii="宋体" w:hAnsi="宋体" w:cs="Arial"/>
          <w:b w:val="0"/>
          <w:bCs/>
          <w:kern w:val="0"/>
          <w:sz w:val="24"/>
        </w:rPr>
        <w:t>月</w:t>
      </w:r>
      <w:r>
        <w:rPr>
          <w:rFonts w:hint="eastAsia" w:ascii="宋体" w:hAnsi="宋体" w:cs="Arial"/>
          <w:b w:val="0"/>
          <w:bCs/>
          <w:kern w:val="0"/>
          <w:sz w:val="24"/>
          <w:lang w:val="en-US" w:eastAsia="zh-CN"/>
        </w:rPr>
        <w:t>6</w:t>
      </w:r>
      <w:r>
        <w:rPr>
          <w:rFonts w:hint="eastAsia" w:ascii="宋体" w:hAnsi="宋体" w:cs="Arial"/>
          <w:b w:val="0"/>
          <w:bCs/>
          <w:kern w:val="0"/>
          <w:sz w:val="24"/>
        </w:rPr>
        <w:t>日</w:t>
      </w:r>
      <w:r>
        <w:rPr>
          <w:rFonts w:hint="eastAsia" w:ascii="宋体" w:hAnsi="宋体" w:cs="Arial"/>
          <w:b w:val="0"/>
          <w:bCs/>
          <w:kern w:val="0"/>
          <w:sz w:val="24"/>
          <w:lang w:val="en-US" w:eastAsia="zh-CN"/>
        </w:rPr>
        <w:t>9</w:t>
      </w:r>
      <w:r>
        <w:rPr>
          <w:rFonts w:hint="eastAsia" w:ascii="宋体" w:hAnsi="宋体" w:cs="Arial"/>
          <w:b w:val="0"/>
          <w:bCs/>
          <w:kern w:val="0"/>
          <w:sz w:val="24"/>
        </w:rPr>
        <w:t>时</w:t>
      </w:r>
      <w:r>
        <w:rPr>
          <w:rFonts w:hint="eastAsia" w:ascii="宋体" w:hAnsi="宋体" w:cs="Arial"/>
          <w:kern w:val="0"/>
          <w:sz w:val="24"/>
        </w:rPr>
        <w:t>在</w:t>
      </w:r>
      <w:r>
        <w:rPr>
          <w:rFonts w:hint="eastAsia" w:ascii="宋体" w:hAnsi="宋体" w:cs="Arial"/>
          <w:kern w:val="0"/>
          <w:sz w:val="24"/>
          <w:lang w:eastAsia="zh-CN"/>
        </w:rPr>
        <w:t>余姚市公共资源交易中心小曹娥镇分中心</w:t>
      </w:r>
      <w:r>
        <w:rPr>
          <w:rFonts w:hint="eastAsia" w:ascii="宋体" w:hAnsi="宋体" w:cs="Arial"/>
          <w:kern w:val="0"/>
          <w:sz w:val="24"/>
        </w:rPr>
        <w:t>对</w:t>
      </w:r>
      <w:r>
        <w:rPr>
          <w:rFonts w:hint="default" w:ascii="宋体" w:hAnsi="宋体" w:cs="Arial"/>
          <w:kern w:val="0"/>
          <w:sz w:val="24"/>
          <w:u w:val="single"/>
        </w:rPr>
        <w:t>小曹娥镇</w:t>
      </w:r>
      <w:r>
        <w:rPr>
          <w:rFonts w:hint="eastAsia" w:ascii="宋体" w:hAnsi="宋体" w:cs="Arial"/>
          <w:kern w:val="0"/>
          <w:sz w:val="24"/>
          <w:u w:val="single"/>
          <w:lang w:val="en-US" w:eastAsia="zh-CN"/>
        </w:rPr>
        <w:t>滨海村兴滨苑4号楼1单元集中居住小区房屋</w:t>
      </w:r>
      <w:r>
        <w:rPr>
          <w:rFonts w:hint="eastAsia" w:ascii="宋体" w:hAnsi="宋体" w:cs="Arial"/>
          <w:kern w:val="0"/>
          <w:sz w:val="24"/>
        </w:rPr>
        <w:t>进行公开交易。现就相关事项告知如下：</w:t>
      </w:r>
      <w:bookmarkStart w:id="0" w:name="_GoBack"/>
      <w:bookmarkEnd w:id="0"/>
    </w:p>
    <w:p>
      <w:pPr>
        <w:spacing w:line="440" w:lineRule="exact"/>
        <w:ind w:firstLine="482" w:firstLineChars="200"/>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：xcezcq23-002</w:t>
      </w:r>
    </w:p>
    <w:p>
      <w:pPr>
        <w:spacing w:line="440" w:lineRule="exact"/>
        <w:ind w:firstLine="482" w:firstLineChars="200"/>
        <w:rPr>
          <w:rFonts w:hint="default" w:ascii="宋体" w:hAnsi="宋体" w:cs="Tahoma"/>
          <w:kern w:val="0"/>
          <w:sz w:val="24"/>
        </w:rPr>
      </w:pPr>
      <w:r>
        <w:rPr>
          <w:rFonts w:hint="eastAsia" w:ascii="宋体" w:hAnsi="宋体" w:cs="Tahoma"/>
          <w:b/>
          <w:kern w:val="0"/>
          <w:sz w:val="24"/>
        </w:rPr>
        <w:t>二、项目名称</w:t>
      </w:r>
      <w:r>
        <w:rPr>
          <w:rFonts w:hint="eastAsia" w:ascii="宋体" w:hAnsi="宋体" w:cs="Tahoma"/>
          <w:kern w:val="0"/>
          <w:sz w:val="24"/>
        </w:rPr>
        <w:t>：滨海村兴滨苑4号楼1单元集中居住小区房屋</w:t>
      </w:r>
      <w:r>
        <w:rPr>
          <w:rFonts w:hint="default" w:ascii="宋体" w:hAnsi="宋体" w:cs="Tahoma"/>
          <w:kern w:val="0"/>
          <w:sz w:val="24"/>
        </w:rPr>
        <w:t>转让</w:t>
      </w:r>
    </w:p>
    <w:p>
      <w:pPr>
        <w:spacing w:line="440" w:lineRule="exact"/>
        <w:ind w:firstLine="482" w:firstLineChars="200"/>
        <w:rPr>
          <w:rFonts w:hint="eastAsia" w:ascii="宋体" w:hAnsi="宋体" w:cs="Tahoma"/>
          <w:kern w:val="0"/>
          <w:sz w:val="24"/>
        </w:rPr>
      </w:pPr>
      <w:r>
        <w:rPr>
          <w:rFonts w:hint="eastAsia" w:ascii="宋体" w:hAnsi="宋体" w:cs="Tahoma"/>
          <w:b/>
          <w:kern w:val="0"/>
          <w:sz w:val="24"/>
        </w:rPr>
        <w:t>三、标的概况</w:t>
      </w:r>
      <w:r>
        <w:rPr>
          <w:rFonts w:hint="eastAsia" w:ascii="宋体" w:hAnsi="宋体" w:cs="Tahoma"/>
          <w:kern w:val="0"/>
          <w:sz w:val="24"/>
        </w:rPr>
        <w:t>：</w:t>
      </w:r>
    </w:p>
    <w:tbl>
      <w:tblPr>
        <w:tblStyle w:val="6"/>
        <w:tblW w:w="87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466"/>
        <w:gridCol w:w="1465"/>
        <w:gridCol w:w="1512"/>
        <w:gridCol w:w="1754"/>
        <w:gridCol w:w="15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房号</w:t>
            </w:r>
          </w:p>
        </w:tc>
        <w:tc>
          <w:tcPr>
            <w:tcW w:w="1466"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房屋套内面积</w:t>
            </w:r>
            <w:r>
              <w:rPr>
                <w:rFonts w:hint="eastAsia" w:ascii="宋体" w:hAnsi="宋体" w:eastAsia="宋体" w:cs="Tahoma"/>
                <w:b w:val="0"/>
                <w:bCs/>
                <w:color w:val="auto"/>
                <w:kern w:val="0"/>
                <w:sz w:val="24"/>
                <w:szCs w:val="24"/>
                <w:vertAlign w:val="baseline"/>
                <w:lang w:val="en-US" w:eastAsia="zh-CN" w:bidi="ar"/>
              </w:rPr>
              <w:t>（m2）</w:t>
            </w:r>
          </w:p>
        </w:tc>
        <w:tc>
          <w:tcPr>
            <w:tcW w:w="1465"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房屋公摊面积</w:t>
            </w:r>
            <w:r>
              <w:rPr>
                <w:rFonts w:hint="eastAsia" w:ascii="宋体" w:hAnsi="宋体" w:eastAsia="宋体" w:cs="Tahoma"/>
                <w:b w:val="0"/>
                <w:bCs/>
                <w:color w:val="auto"/>
                <w:kern w:val="0"/>
                <w:sz w:val="24"/>
                <w:szCs w:val="24"/>
                <w:vertAlign w:val="baseline"/>
                <w:lang w:val="en-US" w:eastAsia="zh-CN" w:bidi="ar"/>
              </w:rPr>
              <w:t>（m2）</w:t>
            </w:r>
          </w:p>
        </w:tc>
        <w:tc>
          <w:tcPr>
            <w:tcW w:w="1512"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房屋总面积</w:t>
            </w:r>
            <w:r>
              <w:rPr>
                <w:rFonts w:hint="eastAsia" w:ascii="宋体" w:hAnsi="宋体" w:eastAsia="宋体" w:cs="Tahoma"/>
                <w:b w:val="0"/>
                <w:bCs/>
                <w:color w:val="auto"/>
                <w:kern w:val="0"/>
                <w:sz w:val="24"/>
                <w:szCs w:val="24"/>
                <w:vertAlign w:val="baseline"/>
                <w:lang w:val="en-US" w:eastAsia="zh-CN" w:bidi="ar"/>
              </w:rPr>
              <w:t>（m2）</w:t>
            </w:r>
          </w:p>
        </w:tc>
        <w:tc>
          <w:tcPr>
            <w:tcW w:w="1754" w:type="dxa"/>
            <w:noWrap w:val="0"/>
            <w:vAlign w:val="center"/>
          </w:tcPr>
          <w:p>
            <w:pPr>
              <w:keepNext w:val="0"/>
              <w:keepLines w:val="0"/>
              <w:widowControl/>
              <w:suppressLineNumbers w:val="0"/>
              <w:spacing w:before="0" w:beforeAutospacing="0" w:after="0" w:afterAutospacing="0" w:line="440" w:lineRule="exact"/>
              <w:ind w:right="0"/>
              <w:jc w:val="center"/>
              <w:rPr>
                <w:rFonts w:hint="eastAsia"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底价（元）</w:t>
            </w:r>
          </w:p>
        </w:tc>
        <w:tc>
          <w:tcPr>
            <w:tcW w:w="1511" w:type="dxa"/>
            <w:noWrap w:val="0"/>
            <w:vAlign w:val="center"/>
          </w:tcPr>
          <w:p>
            <w:pPr>
              <w:keepNext w:val="0"/>
              <w:keepLines w:val="0"/>
              <w:widowControl/>
              <w:suppressLineNumbers w:val="0"/>
              <w:spacing w:before="0" w:beforeAutospacing="0" w:after="0" w:afterAutospacing="0" w:line="440" w:lineRule="exact"/>
              <w:ind w:right="0"/>
              <w:jc w:val="center"/>
              <w:rPr>
                <w:rFonts w:hint="eastAsia"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竞价保证金（元）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06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4-101</w:t>
            </w:r>
          </w:p>
        </w:tc>
        <w:tc>
          <w:tcPr>
            <w:tcW w:w="1466"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78.5345</w:t>
            </w:r>
          </w:p>
        </w:tc>
        <w:tc>
          <w:tcPr>
            <w:tcW w:w="1465"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20.093</w:t>
            </w:r>
          </w:p>
        </w:tc>
        <w:tc>
          <w:tcPr>
            <w:tcW w:w="1512"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98.63</w:t>
            </w:r>
          </w:p>
        </w:tc>
        <w:tc>
          <w:tcPr>
            <w:tcW w:w="1754"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473000</w:t>
            </w:r>
          </w:p>
        </w:tc>
        <w:tc>
          <w:tcPr>
            <w:tcW w:w="151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4-102</w:t>
            </w:r>
          </w:p>
        </w:tc>
        <w:tc>
          <w:tcPr>
            <w:tcW w:w="1466"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77.537</w:t>
            </w:r>
          </w:p>
        </w:tc>
        <w:tc>
          <w:tcPr>
            <w:tcW w:w="1465"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19.8378</w:t>
            </w:r>
          </w:p>
        </w:tc>
        <w:tc>
          <w:tcPr>
            <w:tcW w:w="1512"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97.37</w:t>
            </w:r>
          </w:p>
        </w:tc>
        <w:tc>
          <w:tcPr>
            <w:tcW w:w="1754"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463000</w:t>
            </w:r>
          </w:p>
        </w:tc>
        <w:tc>
          <w:tcPr>
            <w:tcW w:w="1511" w:type="dxa"/>
            <w:noWrap w:val="0"/>
            <w:vAlign w:val="center"/>
          </w:tcPr>
          <w:p>
            <w:pPr>
              <w:keepNext w:val="0"/>
              <w:keepLines w:val="0"/>
              <w:widowControl/>
              <w:suppressLineNumbers w:val="0"/>
              <w:spacing w:before="0" w:beforeAutospacing="0" w:after="0" w:afterAutospacing="0" w:line="440" w:lineRule="exact"/>
              <w:ind w:right="0"/>
              <w:jc w:val="center"/>
              <w:rPr>
                <w:rFonts w:hint="eastAsia"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4-201</w:t>
            </w:r>
          </w:p>
        </w:tc>
        <w:tc>
          <w:tcPr>
            <w:tcW w:w="1466"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78.5345</w:t>
            </w:r>
          </w:p>
        </w:tc>
        <w:tc>
          <w:tcPr>
            <w:tcW w:w="1465"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20.093</w:t>
            </w:r>
          </w:p>
        </w:tc>
        <w:tc>
          <w:tcPr>
            <w:tcW w:w="1512"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98.63</w:t>
            </w:r>
          </w:p>
        </w:tc>
        <w:tc>
          <w:tcPr>
            <w:tcW w:w="1754"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483000</w:t>
            </w:r>
          </w:p>
        </w:tc>
        <w:tc>
          <w:tcPr>
            <w:tcW w:w="1511" w:type="dxa"/>
            <w:noWrap w:val="0"/>
            <w:vAlign w:val="center"/>
          </w:tcPr>
          <w:p>
            <w:pPr>
              <w:keepNext w:val="0"/>
              <w:keepLines w:val="0"/>
              <w:widowControl/>
              <w:suppressLineNumbers w:val="0"/>
              <w:spacing w:before="0" w:beforeAutospacing="0" w:after="0" w:afterAutospacing="0" w:line="440" w:lineRule="exact"/>
              <w:ind w:right="0"/>
              <w:jc w:val="center"/>
              <w:rPr>
                <w:rFonts w:hint="eastAsia"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4-202</w:t>
            </w:r>
          </w:p>
        </w:tc>
        <w:tc>
          <w:tcPr>
            <w:tcW w:w="1466"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77.537</w:t>
            </w:r>
          </w:p>
        </w:tc>
        <w:tc>
          <w:tcPr>
            <w:tcW w:w="1465"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19.8378</w:t>
            </w:r>
          </w:p>
        </w:tc>
        <w:tc>
          <w:tcPr>
            <w:tcW w:w="1512"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97.37</w:t>
            </w:r>
          </w:p>
        </w:tc>
        <w:tc>
          <w:tcPr>
            <w:tcW w:w="1754"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476000</w:t>
            </w:r>
          </w:p>
        </w:tc>
        <w:tc>
          <w:tcPr>
            <w:tcW w:w="1511" w:type="dxa"/>
            <w:noWrap w:val="0"/>
            <w:vAlign w:val="center"/>
          </w:tcPr>
          <w:p>
            <w:pPr>
              <w:keepNext w:val="0"/>
              <w:keepLines w:val="0"/>
              <w:widowControl/>
              <w:suppressLineNumbers w:val="0"/>
              <w:spacing w:before="0" w:beforeAutospacing="0" w:after="0" w:afterAutospacing="0" w:line="440" w:lineRule="exact"/>
              <w:ind w:right="0"/>
              <w:jc w:val="center"/>
              <w:rPr>
                <w:rFonts w:hint="eastAsia"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4-301</w:t>
            </w:r>
          </w:p>
        </w:tc>
        <w:tc>
          <w:tcPr>
            <w:tcW w:w="1466"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78.5345</w:t>
            </w:r>
          </w:p>
        </w:tc>
        <w:tc>
          <w:tcPr>
            <w:tcW w:w="1465"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20.093</w:t>
            </w:r>
          </w:p>
        </w:tc>
        <w:tc>
          <w:tcPr>
            <w:tcW w:w="1512"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98.63</w:t>
            </w:r>
          </w:p>
        </w:tc>
        <w:tc>
          <w:tcPr>
            <w:tcW w:w="1754"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490000</w:t>
            </w:r>
          </w:p>
        </w:tc>
        <w:tc>
          <w:tcPr>
            <w:tcW w:w="151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4-302</w:t>
            </w:r>
          </w:p>
        </w:tc>
        <w:tc>
          <w:tcPr>
            <w:tcW w:w="1466"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77.537</w:t>
            </w:r>
          </w:p>
        </w:tc>
        <w:tc>
          <w:tcPr>
            <w:tcW w:w="1465"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19.8378</w:t>
            </w:r>
          </w:p>
        </w:tc>
        <w:tc>
          <w:tcPr>
            <w:tcW w:w="1512"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97.37</w:t>
            </w:r>
          </w:p>
        </w:tc>
        <w:tc>
          <w:tcPr>
            <w:tcW w:w="1754"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483000</w:t>
            </w:r>
          </w:p>
        </w:tc>
        <w:tc>
          <w:tcPr>
            <w:tcW w:w="1511" w:type="dxa"/>
            <w:noWrap w:val="0"/>
            <w:vAlign w:val="center"/>
          </w:tcPr>
          <w:p>
            <w:pPr>
              <w:keepNext w:val="0"/>
              <w:keepLines w:val="0"/>
              <w:widowControl/>
              <w:suppressLineNumbers w:val="0"/>
              <w:spacing w:before="0" w:beforeAutospacing="0" w:after="0" w:afterAutospacing="0" w:line="440" w:lineRule="exact"/>
              <w:ind w:right="0"/>
              <w:jc w:val="center"/>
              <w:rPr>
                <w:rFonts w:hint="eastAsia"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4-401</w:t>
            </w:r>
          </w:p>
        </w:tc>
        <w:tc>
          <w:tcPr>
            <w:tcW w:w="1466"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78.5345</w:t>
            </w:r>
          </w:p>
        </w:tc>
        <w:tc>
          <w:tcPr>
            <w:tcW w:w="1465"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20.093</w:t>
            </w:r>
          </w:p>
        </w:tc>
        <w:tc>
          <w:tcPr>
            <w:tcW w:w="1512"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98.63</w:t>
            </w:r>
          </w:p>
        </w:tc>
        <w:tc>
          <w:tcPr>
            <w:tcW w:w="1754"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496000</w:t>
            </w:r>
          </w:p>
        </w:tc>
        <w:tc>
          <w:tcPr>
            <w:tcW w:w="1511" w:type="dxa"/>
            <w:noWrap w:val="0"/>
            <w:vAlign w:val="center"/>
          </w:tcPr>
          <w:p>
            <w:pPr>
              <w:keepNext w:val="0"/>
              <w:keepLines w:val="0"/>
              <w:widowControl/>
              <w:suppressLineNumbers w:val="0"/>
              <w:spacing w:before="0" w:beforeAutospacing="0" w:after="0" w:afterAutospacing="0" w:line="440" w:lineRule="exact"/>
              <w:ind w:right="0"/>
              <w:jc w:val="center"/>
              <w:rPr>
                <w:rFonts w:hint="eastAsia"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4-402</w:t>
            </w:r>
          </w:p>
        </w:tc>
        <w:tc>
          <w:tcPr>
            <w:tcW w:w="1466"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77.537</w:t>
            </w:r>
          </w:p>
        </w:tc>
        <w:tc>
          <w:tcPr>
            <w:tcW w:w="1465"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19.8378</w:t>
            </w:r>
          </w:p>
        </w:tc>
        <w:tc>
          <w:tcPr>
            <w:tcW w:w="1512"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97.37</w:t>
            </w:r>
          </w:p>
        </w:tc>
        <w:tc>
          <w:tcPr>
            <w:tcW w:w="1754"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488000</w:t>
            </w:r>
          </w:p>
        </w:tc>
        <w:tc>
          <w:tcPr>
            <w:tcW w:w="1511" w:type="dxa"/>
            <w:noWrap w:val="0"/>
            <w:vAlign w:val="center"/>
          </w:tcPr>
          <w:p>
            <w:pPr>
              <w:keepNext w:val="0"/>
              <w:keepLines w:val="0"/>
              <w:widowControl/>
              <w:suppressLineNumbers w:val="0"/>
              <w:spacing w:before="0" w:beforeAutospacing="0" w:after="0" w:afterAutospacing="0" w:line="440" w:lineRule="exact"/>
              <w:ind w:right="0"/>
              <w:jc w:val="center"/>
              <w:rPr>
                <w:rFonts w:hint="eastAsia"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4-501</w:t>
            </w:r>
          </w:p>
        </w:tc>
        <w:tc>
          <w:tcPr>
            <w:tcW w:w="1466"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78.5345</w:t>
            </w:r>
          </w:p>
        </w:tc>
        <w:tc>
          <w:tcPr>
            <w:tcW w:w="1465"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20.093</w:t>
            </w:r>
          </w:p>
        </w:tc>
        <w:tc>
          <w:tcPr>
            <w:tcW w:w="1512"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98.63</w:t>
            </w:r>
          </w:p>
        </w:tc>
        <w:tc>
          <w:tcPr>
            <w:tcW w:w="1754"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498000</w:t>
            </w:r>
          </w:p>
        </w:tc>
        <w:tc>
          <w:tcPr>
            <w:tcW w:w="1511" w:type="dxa"/>
            <w:noWrap w:val="0"/>
            <w:vAlign w:val="center"/>
          </w:tcPr>
          <w:p>
            <w:pPr>
              <w:keepNext w:val="0"/>
              <w:keepLines w:val="0"/>
              <w:widowControl/>
              <w:suppressLineNumbers w:val="0"/>
              <w:spacing w:before="0" w:beforeAutospacing="0" w:after="0" w:afterAutospacing="0" w:line="440" w:lineRule="exact"/>
              <w:ind w:right="0"/>
              <w:jc w:val="center"/>
              <w:rPr>
                <w:rFonts w:hint="eastAsia"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4-502</w:t>
            </w:r>
          </w:p>
        </w:tc>
        <w:tc>
          <w:tcPr>
            <w:tcW w:w="1466"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77.537</w:t>
            </w:r>
          </w:p>
        </w:tc>
        <w:tc>
          <w:tcPr>
            <w:tcW w:w="1465"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19.8378</w:t>
            </w:r>
          </w:p>
        </w:tc>
        <w:tc>
          <w:tcPr>
            <w:tcW w:w="1512"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97.37</w:t>
            </w:r>
          </w:p>
        </w:tc>
        <w:tc>
          <w:tcPr>
            <w:tcW w:w="1754"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490900</w:t>
            </w:r>
          </w:p>
        </w:tc>
        <w:tc>
          <w:tcPr>
            <w:tcW w:w="1511" w:type="dxa"/>
            <w:noWrap w:val="0"/>
            <w:vAlign w:val="center"/>
          </w:tcPr>
          <w:p>
            <w:pPr>
              <w:keepNext w:val="0"/>
              <w:keepLines w:val="0"/>
              <w:widowControl/>
              <w:suppressLineNumbers w:val="0"/>
              <w:spacing w:before="0" w:beforeAutospacing="0" w:after="0" w:afterAutospacing="0" w:line="440" w:lineRule="exact"/>
              <w:ind w:right="0"/>
              <w:jc w:val="center"/>
              <w:rPr>
                <w:rFonts w:hint="eastAsia"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4-601</w:t>
            </w:r>
          </w:p>
        </w:tc>
        <w:tc>
          <w:tcPr>
            <w:tcW w:w="1466"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78.5345</w:t>
            </w:r>
          </w:p>
        </w:tc>
        <w:tc>
          <w:tcPr>
            <w:tcW w:w="1465"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20.093</w:t>
            </w:r>
          </w:p>
        </w:tc>
        <w:tc>
          <w:tcPr>
            <w:tcW w:w="1512"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98.63</w:t>
            </w:r>
          </w:p>
        </w:tc>
        <w:tc>
          <w:tcPr>
            <w:tcW w:w="1754"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499900</w:t>
            </w:r>
          </w:p>
        </w:tc>
        <w:tc>
          <w:tcPr>
            <w:tcW w:w="1511" w:type="dxa"/>
            <w:noWrap w:val="0"/>
            <w:vAlign w:val="center"/>
          </w:tcPr>
          <w:p>
            <w:pPr>
              <w:keepNext w:val="0"/>
              <w:keepLines w:val="0"/>
              <w:widowControl/>
              <w:suppressLineNumbers w:val="0"/>
              <w:spacing w:before="0" w:beforeAutospacing="0" w:after="0" w:afterAutospacing="0" w:line="440" w:lineRule="exact"/>
              <w:ind w:right="0"/>
              <w:jc w:val="center"/>
              <w:rPr>
                <w:rFonts w:hint="eastAsia"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4-602</w:t>
            </w:r>
          </w:p>
        </w:tc>
        <w:tc>
          <w:tcPr>
            <w:tcW w:w="1466"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77.537</w:t>
            </w:r>
          </w:p>
        </w:tc>
        <w:tc>
          <w:tcPr>
            <w:tcW w:w="1465"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19.8378</w:t>
            </w:r>
          </w:p>
        </w:tc>
        <w:tc>
          <w:tcPr>
            <w:tcW w:w="1512"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97.37</w:t>
            </w:r>
          </w:p>
        </w:tc>
        <w:tc>
          <w:tcPr>
            <w:tcW w:w="1754"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491900</w:t>
            </w:r>
          </w:p>
        </w:tc>
        <w:tc>
          <w:tcPr>
            <w:tcW w:w="1511" w:type="dxa"/>
            <w:noWrap w:val="0"/>
            <w:vAlign w:val="center"/>
          </w:tcPr>
          <w:p>
            <w:pPr>
              <w:keepNext w:val="0"/>
              <w:keepLines w:val="0"/>
              <w:widowControl/>
              <w:suppressLineNumbers w:val="0"/>
              <w:spacing w:before="0" w:beforeAutospacing="0" w:after="0" w:afterAutospacing="0" w:line="440" w:lineRule="exact"/>
              <w:ind w:right="0"/>
              <w:jc w:val="center"/>
              <w:rPr>
                <w:rFonts w:hint="eastAsia"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4-701</w:t>
            </w:r>
          </w:p>
        </w:tc>
        <w:tc>
          <w:tcPr>
            <w:tcW w:w="1466"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78.5345</w:t>
            </w:r>
          </w:p>
        </w:tc>
        <w:tc>
          <w:tcPr>
            <w:tcW w:w="1465"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20.093</w:t>
            </w:r>
          </w:p>
        </w:tc>
        <w:tc>
          <w:tcPr>
            <w:tcW w:w="1512"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98.63</w:t>
            </w:r>
          </w:p>
        </w:tc>
        <w:tc>
          <w:tcPr>
            <w:tcW w:w="1754"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489000</w:t>
            </w:r>
          </w:p>
        </w:tc>
        <w:tc>
          <w:tcPr>
            <w:tcW w:w="1511" w:type="dxa"/>
            <w:noWrap w:val="0"/>
            <w:vAlign w:val="center"/>
          </w:tcPr>
          <w:p>
            <w:pPr>
              <w:keepNext w:val="0"/>
              <w:keepLines w:val="0"/>
              <w:widowControl/>
              <w:suppressLineNumbers w:val="0"/>
              <w:spacing w:before="0" w:beforeAutospacing="0" w:after="0" w:afterAutospacing="0" w:line="440" w:lineRule="exact"/>
              <w:ind w:right="0"/>
              <w:jc w:val="center"/>
              <w:rPr>
                <w:rFonts w:hint="eastAsia"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4-702</w:t>
            </w:r>
          </w:p>
        </w:tc>
        <w:tc>
          <w:tcPr>
            <w:tcW w:w="1466"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77.537</w:t>
            </w:r>
          </w:p>
        </w:tc>
        <w:tc>
          <w:tcPr>
            <w:tcW w:w="1465"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19.8378</w:t>
            </w:r>
          </w:p>
        </w:tc>
        <w:tc>
          <w:tcPr>
            <w:tcW w:w="1512" w:type="dxa"/>
            <w:noWrap w:val="0"/>
            <w:vAlign w:val="center"/>
          </w:tcPr>
          <w:p>
            <w:pPr>
              <w:keepNext w:val="0"/>
              <w:keepLines w:val="0"/>
              <w:widowControl/>
              <w:suppressLineNumbers w:val="0"/>
              <w:spacing w:before="0" w:beforeAutospacing="0" w:after="0" w:afterAutospacing="0" w:line="440" w:lineRule="exact"/>
              <w:ind w:right="0" w:rightChars="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97.37</w:t>
            </w:r>
          </w:p>
        </w:tc>
        <w:tc>
          <w:tcPr>
            <w:tcW w:w="1754"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481000</w:t>
            </w:r>
          </w:p>
        </w:tc>
        <w:tc>
          <w:tcPr>
            <w:tcW w:w="1511" w:type="dxa"/>
            <w:noWrap w:val="0"/>
            <w:vAlign w:val="center"/>
          </w:tcPr>
          <w:p>
            <w:pPr>
              <w:keepNext w:val="0"/>
              <w:keepLines w:val="0"/>
              <w:widowControl/>
              <w:suppressLineNumbers w:val="0"/>
              <w:spacing w:before="0" w:beforeAutospacing="0" w:after="0" w:afterAutospacing="0" w:line="440" w:lineRule="exact"/>
              <w:ind w:right="0"/>
              <w:jc w:val="center"/>
              <w:rPr>
                <w:rFonts w:hint="eastAsia"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20000</w:t>
            </w:r>
          </w:p>
        </w:tc>
      </w:tr>
    </w:tbl>
    <w:p>
      <w:pPr>
        <w:widowControl/>
        <w:spacing w:line="360" w:lineRule="auto"/>
        <w:ind w:firstLine="482" w:firstLineChars="200"/>
        <w:jc w:val="left"/>
        <w:rPr>
          <w:rFonts w:ascii="宋体" w:hAnsi="宋体" w:cs="Tahoma"/>
          <w:kern w:val="0"/>
          <w:sz w:val="24"/>
        </w:rPr>
      </w:pPr>
      <w:r>
        <w:rPr>
          <w:rFonts w:hint="eastAsia" w:ascii="宋体" w:hAnsi="宋体" w:eastAsia="宋体" w:cs="宋体"/>
          <w:b/>
          <w:bCs/>
          <w:kern w:val="0"/>
          <w:sz w:val="24"/>
        </w:rPr>
        <w:t>特别提示（风险）：</w:t>
      </w:r>
      <w:r>
        <w:rPr>
          <w:rFonts w:hint="eastAsia" w:ascii="宋体" w:hAnsi="宋体" w:eastAsia="宋体" w:cs="宋体"/>
          <w:kern w:val="0"/>
          <w:sz w:val="24"/>
        </w:rPr>
        <w:t>对无证建筑买受人需要承担不能过户、无偿拆除、补缴罚款等所有风险。标的物以实物现状为准，转让方不保证竞价标的无瑕疵。竞买人务必在竞价开始前亲临现场看样，并了解标的物的所有拖欠费用等状况，未看样参与竞买的，视为对竞价财产之实物现状的确认，即视为对竞价财产已完全了解，并接受竞价财产已知和未知瑕疵，承担参与竞买所产生的一切法律后果。</w:t>
      </w:r>
    </w:p>
    <w:p>
      <w:pPr>
        <w:spacing w:line="440" w:lineRule="exact"/>
        <w:ind w:firstLine="472" w:firstLineChars="196"/>
        <w:rPr>
          <w:rFonts w:ascii="宋体" w:hAnsi="宋体" w:cs="Tahoma"/>
          <w:b/>
          <w:kern w:val="0"/>
          <w:sz w:val="24"/>
        </w:rPr>
      </w:pPr>
      <w:r>
        <w:rPr>
          <w:rFonts w:hint="eastAsia" w:ascii="宋体" w:hAnsi="宋体" w:cs="Tahoma"/>
          <w:b/>
          <w:kern w:val="0"/>
          <w:sz w:val="24"/>
        </w:rPr>
        <w:t>四、竞买人资格条件</w:t>
      </w:r>
    </w:p>
    <w:p>
      <w:pPr>
        <w:widowControl/>
        <w:spacing w:line="440" w:lineRule="exact"/>
        <w:ind w:firstLine="480" w:firstLineChars="200"/>
        <w:jc w:val="left"/>
        <w:rPr>
          <w:rFonts w:ascii="宋体" w:hAnsi="宋体" w:cs="Arial"/>
          <w:kern w:val="0"/>
          <w:sz w:val="24"/>
        </w:rPr>
      </w:pPr>
      <w:r>
        <w:rPr>
          <w:rFonts w:hint="eastAsia" w:ascii="宋体" w:hAnsi="宋体" w:eastAsia="宋体" w:cs="Tahoma"/>
          <w:color w:val="000000"/>
          <w:kern w:val="0"/>
          <w:sz w:val="24"/>
          <w:szCs w:val="24"/>
          <w:lang w:val="en-US" w:eastAsia="zh-CN" w:bidi="ar"/>
        </w:rPr>
        <w:t>应当具备完全民事行为能力</w:t>
      </w:r>
      <w:r>
        <w:rPr>
          <w:rFonts w:hint="eastAsia" w:ascii="宋体" w:hAnsi="宋体" w:eastAsia="宋体" w:cs="Arial"/>
          <w:color w:val="000000"/>
          <w:kern w:val="0"/>
          <w:sz w:val="24"/>
          <w:szCs w:val="24"/>
          <w:lang w:val="en-US" w:eastAsia="zh-CN" w:bidi="ar"/>
        </w:rPr>
        <w:t>且符合竞价文件要求</w:t>
      </w:r>
      <w:r>
        <w:rPr>
          <w:rFonts w:hint="eastAsia" w:ascii="宋体" w:hAnsi="宋体" w:eastAsia="宋体" w:cs="Tahoma"/>
          <w:color w:val="000000"/>
          <w:kern w:val="0"/>
          <w:sz w:val="24"/>
          <w:szCs w:val="24"/>
          <w:lang w:val="en-US" w:eastAsia="zh-CN" w:bidi="ar"/>
        </w:rPr>
        <w:t>的</w:t>
      </w:r>
      <w:r>
        <w:rPr>
          <w:rFonts w:hint="eastAsia" w:ascii="宋体" w:hAnsi="宋体" w:eastAsia="宋体" w:cs="Arial"/>
          <w:color w:val="000000"/>
          <w:kern w:val="0"/>
          <w:sz w:val="24"/>
          <w:szCs w:val="24"/>
          <w:lang w:val="en-US" w:eastAsia="zh-CN" w:bidi="ar"/>
        </w:rPr>
        <w:t>自然人、法人和其他组织，并具有良好的信用度。</w:t>
      </w:r>
    </w:p>
    <w:p>
      <w:pPr>
        <w:spacing w:line="440" w:lineRule="exact"/>
        <w:ind w:firstLine="472" w:firstLineChars="196"/>
        <w:rPr>
          <w:rFonts w:ascii="宋体" w:hAnsi="宋体" w:cs="Tahoma"/>
          <w:kern w:val="0"/>
          <w:sz w:val="24"/>
        </w:rPr>
      </w:pPr>
      <w:r>
        <w:rPr>
          <w:rFonts w:hint="eastAsia" w:ascii="宋体" w:hAnsi="宋体" w:cs="Tahoma"/>
          <w:b/>
          <w:kern w:val="0"/>
          <w:sz w:val="24"/>
        </w:rPr>
        <w:t>*不符合条件参加竞价的，竞买人自行承担相应的法律责任。</w:t>
      </w:r>
    </w:p>
    <w:p>
      <w:pPr>
        <w:spacing w:line="440" w:lineRule="exact"/>
        <w:ind w:firstLine="472" w:firstLineChars="196"/>
        <w:rPr>
          <w:rFonts w:ascii="宋体" w:hAnsi="宋体" w:cs="Tahoma"/>
          <w:kern w:val="0"/>
          <w:sz w:val="24"/>
        </w:rPr>
      </w:pPr>
      <w:r>
        <w:rPr>
          <w:rFonts w:hint="eastAsia" w:ascii="宋体" w:hAnsi="宋体" w:cs="Tahoma"/>
          <w:b/>
          <w:kern w:val="0"/>
          <w:sz w:val="24"/>
        </w:rPr>
        <w:t>五、公告期限</w:t>
      </w:r>
      <w:r>
        <w:rPr>
          <w:rFonts w:hint="eastAsia" w:ascii="宋体" w:hAnsi="宋体" w:cs="Tahoma"/>
          <w:kern w:val="0"/>
          <w:sz w:val="24"/>
        </w:rPr>
        <w:t>：</w:t>
      </w:r>
      <w:r>
        <w:rPr>
          <w:rFonts w:hint="eastAsia" w:ascii="宋体" w:hAnsi="宋体" w:cs="Arial"/>
          <w:kern w:val="0"/>
          <w:sz w:val="24"/>
        </w:rPr>
        <w:t>自</w:t>
      </w:r>
      <w:r>
        <w:rPr>
          <w:rFonts w:hint="eastAsia" w:ascii="宋体" w:hAnsi="宋体" w:cs="Arial"/>
          <w:kern w:val="0"/>
          <w:sz w:val="24"/>
          <w:u w:val="single"/>
          <w:lang w:val="en-US" w:eastAsia="zh-CN"/>
        </w:rPr>
        <w:t>2023</w:t>
      </w:r>
      <w:r>
        <w:rPr>
          <w:rFonts w:hint="eastAsia" w:ascii="宋体" w:hAnsi="宋体" w:cs="Tahoma"/>
          <w:kern w:val="0"/>
          <w:sz w:val="24"/>
        </w:rPr>
        <w:t>年</w:t>
      </w:r>
      <w:r>
        <w:rPr>
          <w:rFonts w:hint="eastAsia" w:ascii="宋体" w:hAnsi="宋体" w:cs="Arial"/>
          <w:kern w:val="0"/>
          <w:sz w:val="24"/>
          <w:u w:val="single"/>
          <w:lang w:val="en-US" w:eastAsia="zh-CN"/>
        </w:rPr>
        <w:t>4</w:t>
      </w:r>
      <w:r>
        <w:rPr>
          <w:rFonts w:hint="eastAsia" w:ascii="宋体" w:hAnsi="宋体" w:cs="Tahoma"/>
          <w:kern w:val="0"/>
          <w:sz w:val="24"/>
        </w:rPr>
        <w:t>月</w:t>
      </w:r>
      <w:r>
        <w:rPr>
          <w:rFonts w:hint="eastAsia" w:ascii="宋体" w:hAnsi="宋体" w:cs="Arial"/>
          <w:kern w:val="0"/>
          <w:sz w:val="24"/>
          <w:u w:val="single"/>
          <w:lang w:val="en-US" w:eastAsia="zh-CN"/>
        </w:rPr>
        <w:t>24</w:t>
      </w:r>
      <w:r>
        <w:rPr>
          <w:rFonts w:hint="eastAsia" w:ascii="宋体" w:hAnsi="宋体" w:cs="Tahoma"/>
          <w:kern w:val="0"/>
          <w:sz w:val="24"/>
        </w:rPr>
        <w:t>日至</w:t>
      </w:r>
      <w:r>
        <w:rPr>
          <w:rFonts w:hint="eastAsia" w:ascii="宋体" w:hAnsi="宋体" w:cs="Arial"/>
          <w:kern w:val="0"/>
          <w:sz w:val="24"/>
          <w:u w:val="single"/>
          <w:lang w:val="en-US" w:eastAsia="zh-CN"/>
        </w:rPr>
        <w:t>2023</w:t>
      </w:r>
      <w:r>
        <w:rPr>
          <w:rFonts w:hint="eastAsia" w:ascii="宋体" w:hAnsi="宋体" w:cs="Tahoma"/>
          <w:kern w:val="0"/>
          <w:sz w:val="24"/>
        </w:rPr>
        <w:t>年</w:t>
      </w:r>
      <w:r>
        <w:rPr>
          <w:rFonts w:hint="eastAsia" w:ascii="宋体" w:hAnsi="宋体" w:cs="Arial"/>
          <w:kern w:val="0"/>
          <w:sz w:val="24"/>
          <w:u w:val="single"/>
          <w:lang w:val="en-US" w:eastAsia="zh-CN"/>
        </w:rPr>
        <w:t>5</w:t>
      </w:r>
      <w:r>
        <w:rPr>
          <w:rFonts w:hint="eastAsia" w:ascii="宋体" w:hAnsi="宋体" w:cs="Tahoma"/>
          <w:kern w:val="0"/>
          <w:sz w:val="24"/>
        </w:rPr>
        <w:t>月</w:t>
      </w:r>
      <w:r>
        <w:rPr>
          <w:rFonts w:hint="eastAsia" w:ascii="宋体" w:hAnsi="宋体" w:cs="Arial"/>
          <w:kern w:val="0"/>
          <w:sz w:val="24"/>
          <w:u w:val="single"/>
          <w:lang w:val="en-US" w:eastAsia="zh-CN"/>
        </w:rPr>
        <w:t>4</w:t>
      </w:r>
      <w:r>
        <w:rPr>
          <w:rFonts w:hint="eastAsia" w:ascii="宋体" w:hAnsi="宋体" w:cs="Tahoma"/>
          <w:kern w:val="0"/>
          <w:sz w:val="24"/>
        </w:rPr>
        <w:t>日止</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2" w:firstLineChars="200"/>
        <w:jc w:val="left"/>
        <w:rPr>
          <w:rFonts w:hint="eastAsia" w:ascii="宋体" w:hAnsi="宋体" w:eastAsia="宋体" w:cs="Tahoma"/>
          <w:b w:val="0"/>
          <w:bCs w:val="0"/>
          <w:color w:val="000000"/>
          <w:kern w:val="0"/>
          <w:sz w:val="24"/>
          <w:szCs w:val="24"/>
          <w:lang w:val="en-US" w:eastAsia="zh-CN" w:bidi="ar"/>
        </w:rPr>
      </w:pPr>
      <w:r>
        <w:rPr>
          <w:rFonts w:hint="eastAsia" w:ascii="宋体" w:hAnsi="宋体" w:cs="Tahoma"/>
          <w:b/>
          <w:kern w:val="0"/>
          <w:sz w:val="24"/>
        </w:rPr>
        <w:t>六、咨询、看样时间与方式</w:t>
      </w:r>
      <w:r>
        <w:rPr>
          <w:rFonts w:hint="eastAsia" w:ascii="宋体" w:hAnsi="宋体" w:cs="Tahoma"/>
          <w:kern w:val="0"/>
          <w:sz w:val="24"/>
        </w:rPr>
        <w:t>：</w:t>
      </w:r>
      <w:r>
        <w:rPr>
          <w:rFonts w:hint="eastAsia" w:ascii="宋体" w:hAnsi="宋体" w:eastAsia="宋体" w:cs="Tahoma"/>
          <w:b w:val="0"/>
          <w:bCs w:val="0"/>
          <w:color w:val="000000"/>
          <w:kern w:val="0"/>
          <w:sz w:val="24"/>
          <w:szCs w:val="24"/>
          <w:lang w:val="en-US" w:eastAsia="zh-CN" w:bidi="ar"/>
        </w:rPr>
        <w:t>从公告发布之日起接受咨询、看样。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color w:val="auto"/>
        </w:rPr>
      </w:pPr>
      <w:r>
        <w:rPr>
          <w:rFonts w:hint="eastAsia" w:ascii="宋体" w:hAnsi="宋体" w:eastAsia="宋体" w:cs="Tahoma"/>
          <w:color w:val="auto"/>
          <w:kern w:val="0"/>
          <w:sz w:val="24"/>
          <w:szCs w:val="24"/>
          <w:lang w:val="en-US" w:eastAsia="zh-CN" w:bidi="ar"/>
        </w:rPr>
        <w:t>咨询电话：</w:t>
      </w:r>
      <w:r>
        <w:rPr>
          <w:rFonts w:hint="eastAsia" w:ascii="宋体" w:hAnsi="宋体" w:cs="Tahoma"/>
          <w:color w:val="auto"/>
          <w:kern w:val="0"/>
          <w:sz w:val="24"/>
          <w:szCs w:val="24"/>
          <w:lang w:val="en-US" w:eastAsia="zh-CN" w:bidi="ar"/>
        </w:rPr>
        <w:t>15058040556，联系人：毛主任</w:t>
      </w:r>
      <w:r>
        <w:rPr>
          <w:rFonts w:hint="eastAsia" w:ascii="宋体" w:hAnsi="宋体" w:eastAsia="宋体" w:cs="Tahoma"/>
          <w:color w:val="auto"/>
          <w:kern w:val="0"/>
          <w:sz w:val="24"/>
          <w:szCs w:val="24"/>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color w:val="auto"/>
        </w:rPr>
      </w:pPr>
      <w:r>
        <w:rPr>
          <w:rFonts w:hint="eastAsia" w:ascii="宋体" w:hAnsi="宋体" w:eastAsia="宋体" w:cs="Tahoma"/>
          <w:color w:val="auto"/>
          <w:kern w:val="0"/>
          <w:sz w:val="24"/>
          <w:szCs w:val="24"/>
          <w:lang w:val="en-US" w:eastAsia="zh-CN" w:bidi="ar"/>
        </w:rPr>
        <w:t>集中看样时间：从公告发布之日起接受咨询、看样；</w:t>
      </w:r>
    </w:p>
    <w:p>
      <w:pPr>
        <w:widowControl/>
        <w:shd w:val="clear" w:color="auto" w:fill="FFFFFF"/>
        <w:spacing w:line="440" w:lineRule="exact"/>
        <w:ind w:firstLine="465"/>
        <w:jc w:val="left"/>
        <w:rPr>
          <w:rFonts w:ascii="宋体" w:hAnsi="宋体" w:cs="Arial"/>
          <w:kern w:val="0"/>
          <w:sz w:val="24"/>
        </w:rPr>
      </w:pPr>
      <w:r>
        <w:rPr>
          <w:rFonts w:hint="eastAsia" w:ascii="宋体" w:hAnsi="宋体" w:eastAsia="宋体" w:cs="Tahoma"/>
          <w:color w:val="000000"/>
          <w:kern w:val="0"/>
          <w:sz w:val="24"/>
          <w:szCs w:val="24"/>
          <w:lang w:val="en-US" w:eastAsia="zh-CN" w:bidi="ar"/>
        </w:rPr>
        <w:t>地点：余姚市小曹娥镇滨海村村委。</w:t>
      </w:r>
      <w:r>
        <w:rPr>
          <w:rFonts w:hint="eastAsia" w:ascii="宋体" w:hAnsi="宋体" w:cs="Arial"/>
          <w:kern w:val="0"/>
          <w:sz w:val="24"/>
        </w:rPr>
        <w:t xml:space="preserve">   </w:t>
      </w: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七、竞买登记时间、地点</w:t>
      </w:r>
      <w:r>
        <w:rPr>
          <w:rFonts w:hint="eastAsia" w:ascii="宋体" w:hAnsi="宋体" w:cs="Arial"/>
          <w:bCs/>
          <w:kern w:val="0"/>
          <w:sz w:val="24"/>
        </w:rPr>
        <w:t>：</w:t>
      </w:r>
      <w:r>
        <w:rPr>
          <w:rFonts w:hint="eastAsia" w:ascii="宋体" w:hAnsi="宋体" w:cs="Arial"/>
          <w:kern w:val="0"/>
          <w:sz w:val="24"/>
        </w:rPr>
        <w:t>竞买人须</w:t>
      </w:r>
      <w:r>
        <w:rPr>
          <w:rFonts w:hint="eastAsia" w:ascii="宋体" w:hAnsi="宋体" w:cs="Arial"/>
          <w:kern w:val="0"/>
          <w:sz w:val="24"/>
          <w:lang w:val="en-US" w:eastAsia="zh-CN"/>
        </w:rPr>
        <w:t>自公告发布之日起至</w:t>
      </w:r>
      <w:r>
        <w:rPr>
          <w:rFonts w:hint="eastAsia" w:ascii="宋体" w:hAnsi="宋体" w:cs="Arial"/>
          <w:kern w:val="0"/>
          <w:sz w:val="24"/>
        </w:rPr>
        <w:t>2023年</w:t>
      </w:r>
      <w:r>
        <w:rPr>
          <w:rFonts w:hint="eastAsia" w:ascii="宋体" w:hAnsi="宋体" w:cs="Arial"/>
          <w:kern w:val="0"/>
          <w:sz w:val="24"/>
          <w:lang w:val="en-US" w:eastAsia="zh-CN"/>
        </w:rPr>
        <w:t>5</w:t>
      </w:r>
      <w:r>
        <w:rPr>
          <w:rFonts w:hint="eastAsia" w:ascii="宋体" w:hAnsi="宋体" w:cs="Arial"/>
          <w:kern w:val="0"/>
          <w:sz w:val="24"/>
        </w:rPr>
        <w:t>月</w:t>
      </w:r>
      <w:r>
        <w:rPr>
          <w:rFonts w:hint="eastAsia" w:ascii="宋体" w:hAnsi="宋体" w:cs="Arial"/>
          <w:kern w:val="0"/>
          <w:sz w:val="24"/>
          <w:lang w:val="en-US" w:eastAsia="zh-CN"/>
        </w:rPr>
        <w:t>5</w:t>
      </w:r>
      <w:r>
        <w:rPr>
          <w:rFonts w:hint="eastAsia" w:ascii="宋体" w:hAnsi="宋体" w:cs="Arial"/>
          <w:kern w:val="0"/>
          <w:sz w:val="24"/>
        </w:rPr>
        <w:t>日（上午9:00-11:00，下午2:00-4:</w:t>
      </w:r>
      <w:r>
        <w:rPr>
          <w:rFonts w:hint="eastAsia" w:ascii="宋体" w:hAnsi="宋体" w:cs="Arial"/>
          <w:kern w:val="0"/>
          <w:sz w:val="24"/>
          <w:lang w:val="en-US" w:eastAsia="zh-CN"/>
        </w:rPr>
        <w:t>0</w:t>
      </w:r>
      <w:r>
        <w:rPr>
          <w:rFonts w:hint="eastAsia" w:ascii="宋体" w:hAnsi="宋体" w:cs="Arial"/>
          <w:kern w:val="0"/>
          <w:sz w:val="24"/>
        </w:rPr>
        <w:t>0</w:t>
      </w:r>
      <w:r>
        <w:rPr>
          <w:rFonts w:hint="eastAsia" w:ascii="宋体" w:hAnsi="宋体" w:cs="Arial"/>
          <w:kern w:val="0"/>
          <w:sz w:val="24"/>
          <w:lang w:eastAsia="zh-CN"/>
        </w:rPr>
        <w:t>，</w:t>
      </w:r>
      <w:r>
        <w:rPr>
          <w:rFonts w:hint="eastAsia" w:ascii="宋体" w:hAnsi="宋体" w:cs="Arial"/>
          <w:kern w:val="0"/>
          <w:sz w:val="24"/>
          <w:lang w:val="en-US" w:eastAsia="zh-CN"/>
        </w:rPr>
        <w:t>节假日除外</w:t>
      </w:r>
      <w:r>
        <w:rPr>
          <w:rFonts w:hint="eastAsia" w:ascii="宋体" w:hAnsi="宋体" w:cs="Arial"/>
          <w:kern w:val="0"/>
          <w:sz w:val="24"/>
        </w:rPr>
        <w:t>）到</w:t>
      </w:r>
      <w:r>
        <w:rPr>
          <w:rFonts w:hint="eastAsia" w:ascii="宋体" w:hAnsi="宋体" w:cs="Arial"/>
          <w:kern w:val="0"/>
          <w:sz w:val="24"/>
          <w:lang w:val="en-US" w:eastAsia="zh-CN"/>
        </w:rPr>
        <w:t>余姚市小曹娥镇滨海村</w:t>
      </w:r>
      <w:r>
        <w:rPr>
          <w:rFonts w:hint="eastAsia" w:ascii="宋体" w:hAnsi="宋体" w:cs="Arial"/>
          <w:kern w:val="0"/>
          <w:sz w:val="24"/>
        </w:rPr>
        <w:t>办理报名手续，逾期不予受理。</w:t>
      </w:r>
      <w:r>
        <w:rPr>
          <w:rFonts w:hint="eastAsia" w:ascii="宋体" w:hAnsi="宋体" w:cs="Arial"/>
          <w:b/>
          <w:kern w:val="0"/>
          <w:sz w:val="24"/>
        </w:rPr>
        <w:t>未经登记不得参加本次交易活动。</w:t>
      </w:r>
    </w:p>
    <w:p>
      <w:pPr>
        <w:widowControl/>
        <w:shd w:val="clear" w:color="auto" w:fill="FFFFFF"/>
        <w:spacing w:line="440" w:lineRule="exact"/>
        <w:ind w:firstLine="482" w:firstLineChars="200"/>
        <w:jc w:val="left"/>
        <w:rPr>
          <w:rFonts w:ascii="宋体" w:hAnsi="宋体" w:cs="Arial"/>
          <w:kern w:val="0"/>
          <w:sz w:val="24"/>
        </w:rPr>
      </w:pPr>
      <w:r>
        <w:rPr>
          <w:rFonts w:hint="eastAsia" w:ascii="宋体" w:hAnsi="宋体" w:cs="Arial"/>
          <w:b/>
          <w:bCs/>
          <w:kern w:val="0"/>
          <w:sz w:val="24"/>
        </w:rPr>
        <w:t>八、竞买人登记时须提交的资料</w:t>
      </w:r>
      <w:r>
        <w:rPr>
          <w:rFonts w:hint="eastAsia" w:ascii="宋体" w:hAnsi="宋体" w:cs="Arial"/>
          <w:bCs/>
          <w:kern w:val="0"/>
          <w:sz w:val="24"/>
        </w:rPr>
        <w:t>：</w:t>
      </w:r>
    </w:p>
    <w:p>
      <w:pPr>
        <w:widowControl/>
        <w:shd w:val="clear" w:color="auto" w:fill="FFFFFF"/>
        <w:spacing w:line="440" w:lineRule="exact"/>
        <w:ind w:firstLine="480" w:firstLineChars="200"/>
        <w:jc w:val="left"/>
        <w:rPr>
          <w:rFonts w:ascii="宋体" w:hAnsi="宋体" w:cs="Arial"/>
          <w:kern w:val="0"/>
          <w:sz w:val="24"/>
        </w:rPr>
      </w:pPr>
      <w:r>
        <w:rPr>
          <w:rFonts w:hint="eastAsia" w:ascii="宋体" w:hAnsi="宋体" w:cs="Arial"/>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b/>
          <w:bCs/>
          <w:kern w:val="0"/>
          <w:sz w:val="24"/>
        </w:rPr>
      </w:pPr>
      <w:r>
        <w:rPr>
          <w:rFonts w:hint="eastAsia" w:ascii="宋体" w:hAnsi="宋体" w:cs="Arial"/>
          <w:kern w:val="0"/>
          <w:sz w:val="24"/>
        </w:rPr>
        <w:t>（二）自然人须提供：身份证原件及复印件、竞买保证金缴款单。</w:t>
      </w: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九、竞买保证金缴纳办法</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（一）竞买保证金收妥抵用（即到帐）截止时间</w:t>
      </w:r>
      <w:r>
        <w:rPr>
          <w:rFonts w:hint="eastAsia" w:ascii="宋体" w:hAnsi="宋体" w:cs="Arial"/>
          <w:kern w:val="0"/>
          <w:sz w:val="24"/>
          <w:u w:val="single"/>
        </w:rPr>
        <w:t xml:space="preserve"> </w:t>
      </w:r>
      <w:r>
        <w:rPr>
          <w:rFonts w:hint="eastAsia" w:ascii="宋体" w:hAnsi="宋体" w:cs="Arial"/>
          <w:kern w:val="0"/>
          <w:sz w:val="24"/>
          <w:u w:val="single"/>
          <w:lang w:val="en-US" w:eastAsia="zh-CN"/>
        </w:rPr>
        <w:t>2023</w:t>
      </w:r>
      <w:r>
        <w:rPr>
          <w:rFonts w:hint="eastAsia" w:ascii="宋体" w:hAnsi="宋体" w:cs="Tahoma"/>
          <w:kern w:val="0"/>
          <w:sz w:val="24"/>
        </w:rPr>
        <w:t>年</w:t>
      </w:r>
      <w:r>
        <w:rPr>
          <w:rFonts w:hint="eastAsia" w:ascii="宋体" w:hAnsi="宋体" w:cs="Tahoma"/>
          <w:kern w:val="0"/>
          <w:sz w:val="24"/>
          <w:u w:val="single"/>
          <w:lang w:val="en-US" w:eastAsia="zh-CN"/>
        </w:rPr>
        <w:t>5</w:t>
      </w:r>
      <w:r>
        <w:rPr>
          <w:rFonts w:hint="eastAsia" w:ascii="宋体" w:hAnsi="宋体" w:cs="Tahoma"/>
          <w:kern w:val="0"/>
          <w:sz w:val="24"/>
        </w:rPr>
        <w:t>月</w:t>
      </w:r>
      <w:r>
        <w:rPr>
          <w:rFonts w:hint="eastAsia" w:ascii="宋体" w:hAnsi="宋体" w:cs="Tahoma"/>
          <w:kern w:val="0"/>
          <w:sz w:val="24"/>
          <w:u w:val="single"/>
          <w:lang w:val="en-US" w:eastAsia="zh-CN"/>
        </w:rPr>
        <w:t>5</w:t>
      </w:r>
      <w:r>
        <w:rPr>
          <w:rFonts w:hint="eastAsia" w:ascii="宋体" w:hAnsi="宋体" w:cs="Tahoma"/>
          <w:kern w:val="0"/>
          <w:sz w:val="24"/>
        </w:rPr>
        <w:t>日</w:t>
      </w:r>
      <w:r>
        <w:rPr>
          <w:rFonts w:hint="eastAsia" w:ascii="宋体" w:hAnsi="宋体" w:cs="Tahoma"/>
          <w:kern w:val="0"/>
          <w:sz w:val="24"/>
          <w:lang w:val="en-US" w:eastAsia="zh-CN"/>
        </w:rPr>
        <w:t>下午</w:t>
      </w:r>
      <w:r>
        <w:rPr>
          <w:rFonts w:hint="eastAsia" w:ascii="宋体" w:hAnsi="宋体" w:cs="Tahoma"/>
          <w:kern w:val="0"/>
          <w:sz w:val="24"/>
          <w:u w:val="single"/>
          <w:lang w:val="en-US" w:eastAsia="zh-CN"/>
        </w:rPr>
        <w:t>4</w:t>
      </w:r>
      <w:r>
        <w:rPr>
          <w:rFonts w:hint="eastAsia" w:ascii="宋体" w:hAnsi="宋体" w:cs="Tahoma"/>
          <w:kern w:val="0"/>
          <w:sz w:val="24"/>
        </w:rPr>
        <w:t>时</w:t>
      </w:r>
      <w:r>
        <w:rPr>
          <w:rFonts w:hint="eastAsia" w:ascii="宋体" w:hAnsi="宋体" w:cs="Tahoma"/>
          <w:kern w:val="0"/>
          <w:sz w:val="24"/>
          <w:u w:val="single"/>
          <w:lang w:val="en-US" w:eastAsia="zh-CN"/>
        </w:rPr>
        <w:t>00</w:t>
      </w:r>
      <w:r>
        <w:rPr>
          <w:rFonts w:hint="eastAsia" w:ascii="宋体" w:hAnsi="宋体" w:cs="Tahoma"/>
          <w:kern w:val="0"/>
          <w:sz w:val="24"/>
          <w:lang w:val="en-US" w:eastAsia="zh-CN"/>
        </w:rPr>
        <w:t>分</w:t>
      </w:r>
      <w:r>
        <w:rPr>
          <w:rFonts w:hint="eastAsia" w:ascii="宋体" w:hAnsi="宋体" w:cs="Arial"/>
          <w:kern w:val="0"/>
          <w:sz w:val="24"/>
        </w:rPr>
        <w:t>之前。</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（二）竞买保证金由竞买人以转账（必须实时清算）、银行汇票、电汇等形式缴入指定帐户</w:t>
      </w:r>
      <w:r>
        <w:rPr>
          <w:rFonts w:hint="eastAsia" w:ascii="宋体" w:hAnsi="宋体" w:cs="Tahoma"/>
          <w:kern w:val="0"/>
          <w:sz w:val="24"/>
        </w:rPr>
        <w:t>（</w:t>
      </w:r>
      <w:r>
        <w:rPr>
          <w:rFonts w:hint="eastAsia" w:ascii="宋体" w:hAnsi="宋体" w:eastAsia="宋体" w:cs="Tahoma"/>
          <w:color w:val="auto"/>
          <w:kern w:val="0"/>
          <w:sz w:val="24"/>
          <w:szCs w:val="24"/>
          <w:lang w:val="en-US" w:eastAsia="zh-CN" w:bidi="ar"/>
        </w:rPr>
        <w:t>户名：余姚市小曹娥镇滨海村股份经济合作社，开户银行：余姚市农村商业银行小曹娥支行，账号：2010 0004 7354 233</w:t>
      </w:r>
      <w:r>
        <w:rPr>
          <w:rFonts w:ascii="宋体" w:hAnsi="宋体" w:cs="Tahoma"/>
          <w:kern w:val="0"/>
          <w:sz w:val="24"/>
        </w:rPr>
        <w:t>）</w:t>
      </w:r>
      <w:r>
        <w:rPr>
          <w:rFonts w:hint="eastAsia" w:ascii="宋体" w:hAnsi="宋体" w:cs="Arial"/>
          <w:kern w:val="0"/>
          <w:sz w:val="24"/>
        </w:rPr>
        <w:t>。</w:t>
      </w:r>
    </w:p>
    <w:p>
      <w:pPr>
        <w:widowControl/>
        <w:shd w:val="clear" w:color="auto" w:fill="FFFFFF"/>
        <w:spacing w:line="440" w:lineRule="exact"/>
        <w:ind w:firstLine="465"/>
        <w:jc w:val="left"/>
        <w:rPr>
          <w:rFonts w:ascii="宋体" w:hAnsi="宋体" w:cs="Arial"/>
          <w:b/>
          <w:bCs/>
          <w:kern w:val="0"/>
          <w:sz w:val="24"/>
        </w:rPr>
      </w:pPr>
      <w:r>
        <w:rPr>
          <w:rFonts w:hint="eastAsia" w:ascii="宋体" w:hAnsi="宋体" w:cs="Arial"/>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pPr>
        <w:widowControl/>
        <w:spacing w:line="360" w:lineRule="auto"/>
        <w:ind w:firstLine="482" w:firstLineChars="200"/>
        <w:jc w:val="left"/>
        <w:rPr>
          <w:rFonts w:ascii="宋体" w:hAnsi="宋体" w:cs="Arial"/>
          <w:b/>
          <w:bCs/>
          <w:kern w:val="0"/>
          <w:sz w:val="24"/>
        </w:rPr>
      </w:pPr>
      <w:r>
        <w:rPr>
          <w:rFonts w:hint="eastAsia" w:ascii="宋体" w:hAnsi="宋体" w:cs="宋体"/>
          <w:b/>
          <w:bCs/>
          <w:color w:val="000000"/>
          <w:kern w:val="0"/>
          <w:sz w:val="24"/>
          <w:lang w:bidi="ar"/>
        </w:rPr>
        <w:t>竞买保证金的退</w:t>
      </w:r>
      <w:r>
        <w:rPr>
          <w:rFonts w:hint="eastAsia" w:ascii="宋体" w:hAnsi="宋体" w:cs="宋体"/>
          <w:b/>
          <w:bCs/>
          <w:color w:val="auto"/>
          <w:kern w:val="0"/>
          <w:sz w:val="24"/>
          <w:shd w:val="clear" w:color="auto" w:fill="auto"/>
          <w:lang w:bidi="ar"/>
        </w:rPr>
        <w:t>还：</w:t>
      </w:r>
      <w:r>
        <w:rPr>
          <w:rFonts w:hint="eastAsia" w:ascii="宋体" w:hAnsi="宋体" w:cs="宋体"/>
          <w:color w:val="auto"/>
          <w:kern w:val="0"/>
          <w:sz w:val="24"/>
          <w:shd w:val="clear" w:color="auto" w:fill="auto"/>
          <w:lang w:bidi="ar"/>
        </w:rPr>
        <w:t>成交方的竞买保证金在签订合同后5个工作日内返还</w:t>
      </w:r>
      <w:r>
        <w:rPr>
          <w:rFonts w:ascii="宋体" w:hAnsi="宋体" w:cs="宋体"/>
          <w:color w:val="auto"/>
          <w:sz w:val="24"/>
          <w:shd w:val="clear" w:color="auto" w:fill="auto"/>
        </w:rPr>
        <w:t>（</w:t>
      </w:r>
      <w:r>
        <w:rPr>
          <w:rFonts w:hint="eastAsia" w:ascii="宋体" w:hAnsi="宋体" w:cs="宋体"/>
          <w:color w:val="auto"/>
          <w:sz w:val="24"/>
          <w:shd w:val="clear" w:color="auto" w:fill="auto"/>
          <w:lang w:eastAsia="zh-CN"/>
        </w:rPr>
        <w:t>不计存款</w:t>
      </w:r>
      <w:r>
        <w:rPr>
          <w:rFonts w:ascii="宋体" w:hAnsi="宋体" w:cs="宋体"/>
          <w:color w:val="auto"/>
          <w:sz w:val="24"/>
          <w:shd w:val="clear" w:color="auto" w:fill="auto"/>
        </w:rPr>
        <w:t>利息）；未成交方的交易保证金在交易结束后5个工作日内返还（</w:t>
      </w:r>
      <w:r>
        <w:rPr>
          <w:rFonts w:hint="eastAsia" w:ascii="宋体" w:hAnsi="宋体" w:cs="宋体"/>
          <w:color w:val="auto"/>
          <w:sz w:val="24"/>
          <w:shd w:val="clear" w:color="auto" w:fill="auto"/>
          <w:lang w:eastAsia="zh-CN"/>
        </w:rPr>
        <w:t>不计</w:t>
      </w:r>
      <w:r>
        <w:rPr>
          <w:rFonts w:ascii="宋体" w:hAnsi="宋体" w:cs="宋体"/>
          <w:color w:val="auto"/>
          <w:sz w:val="24"/>
          <w:shd w:val="clear" w:color="auto" w:fill="auto"/>
        </w:rPr>
        <w:t>存款利息）。</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十、竞价方式</w:t>
      </w:r>
      <w:r>
        <w:rPr>
          <w:rFonts w:hint="eastAsia" w:ascii="宋体" w:hAnsi="宋体" w:cs="Tahoma"/>
          <w:kern w:val="0"/>
          <w:sz w:val="24"/>
        </w:rPr>
        <w:t>: 按方式</w:t>
      </w:r>
      <w:r>
        <w:rPr>
          <w:rFonts w:hint="eastAsia" w:ascii="宋体" w:hAnsi="宋体" w:cs="Tahoma"/>
          <w:kern w:val="0"/>
          <w:sz w:val="24"/>
          <w:u w:val="single"/>
        </w:rPr>
        <w:t xml:space="preserve"> </w:t>
      </w:r>
      <w:r>
        <w:rPr>
          <w:rFonts w:hint="eastAsia" w:ascii="宋体" w:hAnsi="宋体" w:cs="Tahoma"/>
          <w:kern w:val="0"/>
          <w:sz w:val="24"/>
          <w:u w:val="single"/>
          <w:lang w:val="en-US" w:eastAsia="zh-CN"/>
        </w:rPr>
        <w:t>书面竞价</w:t>
      </w:r>
      <w:r>
        <w:rPr>
          <w:rFonts w:hint="eastAsia" w:ascii="宋体" w:hAnsi="宋体" w:cs="Tahoma"/>
          <w:kern w:val="0"/>
          <w:sz w:val="24"/>
          <w:u w:val="single"/>
        </w:rPr>
        <w:t xml:space="preserve"> </w:t>
      </w:r>
      <w:r>
        <w:rPr>
          <w:rFonts w:hint="eastAsia" w:ascii="宋体" w:hAnsi="宋体" w:cs="Tahoma"/>
          <w:kern w:val="0"/>
          <w:sz w:val="24"/>
        </w:rPr>
        <w:t>执行</w:t>
      </w:r>
      <w:r>
        <w:rPr>
          <w:rFonts w:ascii="宋体" w:hAnsi="宋体" w:cs="Tahoma"/>
          <w:kern w:val="0"/>
          <w:sz w:val="24"/>
        </w:rPr>
        <w:t>。</w:t>
      </w:r>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书面竞价：是指受让人在指定交易场所，以密封的形式递交竞价文件，并当众拆封，以“价高者得”的原则开展交易，且成交价格不低于交易底价。最高出价相同时，相同者可再次竞价。设有保留价的一次书面竞价，保留价等于交易底价。书</w:t>
      </w:r>
      <w:r>
        <w:rPr>
          <w:rFonts w:ascii="宋体" w:hAnsi="宋体" w:cs="Tahoma"/>
          <w:kern w:val="0"/>
          <w:sz w:val="24"/>
        </w:rPr>
        <w:t>面</w:t>
      </w:r>
      <w:r>
        <w:rPr>
          <w:rFonts w:hint="eastAsia" w:ascii="宋体" w:hAnsi="宋体" w:cs="Tahoma"/>
          <w:kern w:val="0"/>
          <w:sz w:val="24"/>
        </w:rPr>
        <w:t>报价</w:t>
      </w:r>
      <w:r>
        <w:rPr>
          <w:rFonts w:ascii="宋体" w:hAnsi="宋体" w:cs="Tahoma"/>
          <w:kern w:val="0"/>
          <w:sz w:val="24"/>
        </w:rPr>
        <w:t>单详见附件。</w:t>
      </w:r>
    </w:p>
    <w:p>
      <w:pPr>
        <w:widowControl/>
        <w:shd w:val="clear" w:color="auto" w:fill="FFFFFF"/>
        <w:spacing w:line="440" w:lineRule="exact"/>
        <w:ind w:firstLine="465"/>
        <w:jc w:val="left"/>
        <w:rPr>
          <w:rFonts w:ascii="宋体" w:hAnsi="宋体" w:cs="Arial"/>
          <w:kern w:val="0"/>
          <w:sz w:val="24"/>
        </w:rPr>
      </w:pPr>
      <w:r>
        <w:rPr>
          <w:rFonts w:hint="eastAsia" w:ascii="宋体" w:hAnsi="宋体" w:cs="Tahoma"/>
          <w:b/>
          <w:kern w:val="0"/>
          <w:sz w:val="24"/>
        </w:rPr>
        <w:t>十一、成交确认及款项结算</w:t>
      </w:r>
      <w:r>
        <w:rPr>
          <w:rFonts w:hint="eastAsia" w:ascii="宋体" w:hAnsi="宋体" w:cs="Tahoma"/>
          <w:kern w:val="0"/>
          <w:sz w:val="24"/>
        </w:rPr>
        <w:t xml:space="preserve">: </w:t>
      </w:r>
      <w:r>
        <w:rPr>
          <w:rFonts w:hint="eastAsia" w:ascii="宋体" w:hAnsi="宋体" w:eastAsia="宋体" w:cs="宋体"/>
          <w:kern w:val="0"/>
          <w:sz w:val="24"/>
        </w:rPr>
        <w:t>竞买成交的，竞买人应在</w:t>
      </w:r>
      <w:r>
        <w:rPr>
          <w:rFonts w:hint="eastAsia" w:ascii="宋体" w:hAnsi="宋体" w:eastAsia="宋体" w:cs="Tahoma"/>
          <w:color w:val="000000"/>
          <w:kern w:val="0"/>
          <w:sz w:val="24"/>
          <w:szCs w:val="24"/>
          <w:highlight w:val="none"/>
          <w:lang w:val="en-US" w:eastAsia="zh-CN" w:bidi="ar"/>
        </w:rPr>
        <w:t>合同签订后5个工作日内</w:t>
      </w:r>
      <w:r>
        <w:rPr>
          <w:rFonts w:hint="eastAsia" w:ascii="宋体" w:hAnsi="宋体" w:eastAsia="宋体" w:cs="宋体"/>
          <w:kern w:val="0"/>
          <w:sz w:val="24"/>
        </w:rPr>
        <w:t>将</w:t>
      </w:r>
      <w:r>
        <w:rPr>
          <w:rFonts w:hint="eastAsia" w:ascii="宋体" w:hAnsi="宋体" w:eastAsia="宋体" w:cs="宋体"/>
          <w:kern w:val="0"/>
          <w:sz w:val="24"/>
          <w:lang w:val="en-US" w:eastAsia="zh-CN"/>
        </w:rPr>
        <w:t>成交款</w:t>
      </w:r>
      <w:r>
        <w:rPr>
          <w:rFonts w:hint="eastAsia" w:ascii="宋体" w:hAnsi="宋体" w:eastAsia="宋体" w:cs="宋体"/>
          <w:kern w:val="0"/>
          <w:sz w:val="24"/>
        </w:rPr>
        <w:t>缴入指定账户（</w:t>
      </w:r>
      <w:r>
        <w:rPr>
          <w:rFonts w:hint="eastAsia" w:ascii="宋体" w:hAnsi="宋体" w:eastAsia="宋体" w:cs="Tahoma"/>
          <w:color w:val="auto"/>
          <w:kern w:val="0"/>
          <w:sz w:val="24"/>
          <w:szCs w:val="24"/>
          <w:lang w:val="en-US" w:eastAsia="zh-CN" w:bidi="ar"/>
        </w:rPr>
        <w:t>户名：余姚市小曹娥镇滨海村股份经济合作社，开户银行：余姚市农村商业银行小曹娥支行，账号：2010 0004 7354 233</w:t>
      </w:r>
      <w:r>
        <w:rPr>
          <w:rFonts w:hint="eastAsia" w:ascii="宋体" w:hAnsi="宋体" w:eastAsia="宋体" w:cs="宋体"/>
          <w:kern w:val="0"/>
          <w:sz w:val="24"/>
        </w:rPr>
        <w:t>），摘要栏备注“竞价标的名称”</w:t>
      </w:r>
      <w:r>
        <w:rPr>
          <w:rFonts w:hint="eastAsia" w:ascii="宋体" w:hAnsi="宋体" w:cs="Tahoma"/>
          <w:bCs/>
          <w:kern w:val="0"/>
          <w:sz w:val="24"/>
        </w:rPr>
        <w:t>。</w:t>
      </w:r>
      <w:r>
        <w:t xml:space="preserve"> </w:t>
      </w:r>
    </w:p>
    <w:p>
      <w:pPr>
        <w:spacing w:line="440" w:lineRule="exact"/>
        <w:ind w:firstLine="482" w:firstLineChars="200"/>
        <w:rPr>
          <w:rFonts w:ascii="宋体" w:hAnsi="宋体" w:cs="Tahoma"/>
          <w:kern w:val="0"/>
          <w:sz w:val="24"/>
        </w:rPr>
      </w:pPr>
      <w:r>
        <w:rPr>
          <w:rFonts w:hint="eastAsia" w:ascii="宋体" w:hAnsi="宋体" w:cs="Tahoma"/>
          <w:b/>
          <w:kern w:val="0"/>
          <w:sz w:val="24"/>
        </w:rPr>
        <w:t>十二、标的物交付</w:t>
      </w:r>
      <w:r>
        <w:rPr>
          <w:rFonts w:hint="eastAsia" w:ascii="宋体" w:hAnsi="宋体" w:cs="Tahoma"/>
          <w:kern w:val="0"/>
          <w:sz w:val="24"/>
        </w:rPr>
        <w:t>：标的物交付时间为买受人付清成交款后</w:t>
      </w:r>
      <w:r>
        <w:rPr>
          <w:rFonts w:hint="eastAsia" w:ascii="宋体" w:hAnsi="宋体" w:cs="Tahoma"/>
          <w:kern w:val="0"/>
          <w:sz w:val="24"/>
          <w:u w:val="single"/>
        </w:rPr>
        <w:t xml:space="preserve"> </w:t>
      </w:r>
      <w:r>
        <w:rPr>
          <w:rFonts w:hint="default" w:ascii="宋体" w:hAnsi="宋体" w:cs="Tahoma"/>
          <w:kern w:val="0"/>
          <w:sz w:val="24"/>
          <w:u w:val="single"/>
        </w:rPr>
        <w:t>10</w:t>
      </w:r>
      <w:r>
        <w:rPr>
          <w:rFonts w:hint="eastAsia" w:ascii="宋体" w:hAnsi="宋体" w:cs="Tahoma"/>
          <w:kern w:val="0"/>
          <w:sz w:val="24"/>
          <w:u w:val="single"/>
        </w:rPr>
        <w:t xml:space="preserve"> </w:t>
      </w:r>
      <w:r>
        <w:rPr>
          <w:rFonts w:hint="eastAsia" w:ascii="宋体" w:hAnsi="宋体" w:cs="Tahoma"/>
          <w:kern w:val="0"/>
          <w:sz w:val="24"/>
        </w:rPr>
        <w:t>日内。</w:t>
      </w:r>
      <w:r>
        <w:rPr>
          <w:rFonts w:hint="eastAsia" w:ascii="宋体" w:hAnsi="宋体" w:eastAsia="宋体" w:cs="宋体"/>
          <w:kern w:val="0"/>
          <w:sz w:val="24"/>
        </w:rPr>
        <w:t>转让标的</w:t>
      </w:r>
      <w:r>
        <w:rPr>
          <w:rFonts w:hint="eastAsia" w:ascii="宋体" w:hAnsi="宋体" w:eastAsia="宋体" w:cs="宋体"/>
          <w:kern w:val="0"/>
          <w:sz w:val="24"/>
          <w:lang w:val="en-US" w:eastAsia="zh-CN"/>
        </w:rPr>
        <w:t>目前只有村集体产权证，今后如符合国家规定条件可以单独做不动产证，转让方协助办理，但产生的费用由竞得人自行承担。</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十三、悔约责任</w:t>
      </w:r>
      <w:r>
        <w:rPr>
          <w:rFonts w:hint="eastAsia" w:ascii="宋体" w:hAnsi="宋体" w:cs="Tahoma"/>
          <w:kern w:val="0"/>
          <w:sz w:val="24"/>
        </w:rPr>
        <w:t>:竞买人成交后反悔的，缴纳的保证金不予退还。转让人可以重新交易。重新交易时，该</w:t>
      </w:r>
      <w:r>
        <w:rPr>
          <w:rFonts w:ascii="宋体" w:hAnsi="宋体" w:cs="Tahoma"/>
          <w:kern w:val="0"/>
          <w:sz w:val="24"/>
        </w:rPr>
        <w:t>竞买人</w:t>
      </w:r>
      <w:r>
        <w:rPr>
          <w:rFonts w:hint="eastAsia" w:ascii="宋体" w:hAnsi="宋体" w:cs="Tahoma"/>
          <w:kern w:val="0"/>
          <w:sz w:val="24"/>
        </w:rPr>
        <w:t>不得参加。</w:t>
      </w:r>
    </w:p>
    <w:p>
      <w:pPr>
        <w:widowControl/>
        <w:shd w:val="clear" w:color="auto" w:fill="FFFFFF"/>
        <w:spacing w:line="440" w:lineRule="exact"/>
        <w:ind w:firstLine="465"/>
        <w:jc w:val="left"/>
        <w:rPr>
          <w:rFonts w:ascii="宋体" w:hAnsi="宋体" w:cs="Tahoma"/>
          <w:b/>
          <w:kern w:val="0"/>
          <w:sz w:val="24"/>
        </w:rPr>
      </w:pPr>
      <w:r>
        <w:rPr>
          <w:rFonts w:hint="eastAsia" w:ascii="宋体" w:hAnsi="宋体" w:cs="Tahoma"/>
          <w:b/>
          <w:kern w:val="0"/>
          <w:sz w:val="24"/>
        </w:rPr>
        <w:t>十</w:t>
      </w:r>
      <w:r>
        <w:rPr>
          <w:rFonts w:hint="default" w:ascii="宋体" w:hAnsi="宋体" w:cs="Tahoma"/>
          <w:b/>
          <w:kern w:val="0"/>
          <w:sz w:val="24"/>
        </w:rPr>
        <w:t>四</w:t>
      </w:r>
      <w:r>
        <w:rPr>
          <w:rFonts w:hint="eastAsia" w:ascii="宋体" w:hAnsi="宋体" w:cs="Tahoma"/>
          <w:b/>
          <w:kern w:val="0"/>
          <w:sz w:val="24"/>
        </w:rPr>
        <w:t>、联系方式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pPr>
      <w:r>
        <w:rPr>
          <w:rFonts w:hint="eastAsia" w:ascii="宋体" w:hAnsi="宋体" w:eastAsia="宋体" w:cs="Tahoma"/>
          <w:color w:val="000000"/>
          <w:kern w:val="0"/>
          <w:sz w:val="24"/>
          <w:szCs w:val="24"/>
          <w:lang w:val="en-US" w:eastAsia="zh-CN" w:bidi="ar"/>
        </w:rPr>
        <w:t>转让方：余姚市小曹娥镇滨海村股份经济合作社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rFonts w:hint="eastAsia" w:ascii="宋体" w:hAnsi="宋体" w:eastAsia="宋体" w:cs="Tahoma"/>
          <w:color w:val="000000"/>
          <w:kern w:val="0"/>
          <w:sz w:val="24"/>
          <w:szCs w:val="24"/>
          <w:lang w:val="en-US" w:eastAsia="zh-CN" w:bidi="ar"/>
        </w:rPr>
      </w:pPr>
      <w:r>
        <w:rPr>
          <w:rFonts w:hint="eastAsia" w:ascii="宋体" w:hAnsi="宋体" w:eastAsia="宋体" w:cs="Tahoma"/>
          <w:color w:val="000000"/>
          <w:kern w:val="0"/>
          <w:sz w:val="24"/>
          <w:szCs w:val="24"/>
          <w:lang w:val="en-US" w:eastAsia="zh-CN" w:bidi="ar"/>
        </w:rPr>
        <w:t>联系人：章书记</w:t>
      </w:r>
      <w:r>
        <w:rPr>
          <w:rFonts w:hint="default" w:ascii="宋体" w:hAnsi="宋体" w:cs="Tahoma"/>
          <w:color w:val="000000"/>
          <w:kern w:val="0"/>
          <w:sz w:val="24"/>
          <w:szCs w:val="24"/>
          <w:lang w:eastAsia="zh-CN" w:bidi="ar"/>
        </w:rPr>
        <w:t xml:space="preserve">   </w:t>
      </w:r>
      <w:r>
        <w:rPr>
          <w:rFonts w:hint="eastAsia" w:ascii="宋体" w:hAnsi="宋体" w:eastAsia="宋体" w:cs="Tahoma"/>
          <w:color w:val="000000"/>
          <w:kern w:val="0"/>
          <w:sz w:val="24"/>
          <w:szCs w:val="24"/>
          <w:lang w:val="en-US" w:eastAsia="zh-CN" w:bidi="ar"/>
        </w:rPr>
        <w:t>联系电话：13685714631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rFonts w:hint="eastAsia" w:ascii="宋体" w:hAnsi="宋体" w:eastAsia="宋体" w:cs="Tahoma"/>
          <w:color w:val="000000"/>
          <w:kern w:val="0"/>
          <w:sz w:val="24"/>
          <w:szCs w:val="24"/>
          <w:lang w:val="en-US" w:eastAsia="zh-CN" w:bidi="ar"/>
        </w:rPr>
      </w:pPr>
      <w:r>
        <w:rPr>
          <w:rFonts w:hint="eastAsia" w:ascii="宋体" w:hAnsi="宋体" w:cs="Tahoma"/>
          <w:color w:val="auto"/>
          <w:kern w:val="0"/>
          <w:sz w:val="24"/>
          <w:szCs w:val="24"/>
          <w:lang w:val="en-US" w:eastAsia="zh-CN" w:bidi="ar"/>
        </w:rPr>
        <w:t>联系人：毛主任</w:t>
      </w:r>
      <w:r>
        <w:rPr>
          <w:rFonts w:hint="eastAsia" w:ascii="宋体" w:hAnsi="宋体" w:eastAsia="宋体" w:cs="Tahoma"/>
          <w:color w:val="auto"/>
          <w:kern w:val="0"/>
          <w:sz w:val="24"/>
          <w:szCs w:val="24"/>
          <w:lang w:val="en-US" w:eastAsia="zh-CN" w:bidi="ar"/>
        </w:rPr>
        <w:t>；</w:t>
      </w:r>
      <w:r>
        <w:rPr>
          <w:rFonts w:hint="default" w:ascii="宋体" w:hAnsi="宋体" w:cs="Tahoma"/>
          <w:color w:val="auto"/>
          <w:kern w:val="0"/>
          <w:sz w:val="24"/>
          <w:szCs w:val="24"/>
          <w:lang w:eastAsia="zh-CN" w:bidi="ar"/>
        </w:rPr>
        <w:t xml:space="preserve"> </w:t>
      </w:r>
      <w:r>
        <w:rPr>
          <w:rFonts w:hint="eastAsia" w:ascii="宋体" w:hAnsi="宋体" w:eastAsia="宋体" w:cs="Tahoma"/>
          <w:color w:val="auto"/>
          <w:kern w:val="0"/>
          <w:sz w:val="24"/>
          <w:szCs w:val="24"/>
          <w:lang w:val="en-US" w:eastAsia="zh-CN" w:bidi="ar"/>
        </w:rPr>
        <w:t>联系电话：</w:t>
      </w:r>
      <w:r>
        <w:rPr>
          <w:rFonts w:hint="eastAsia" w:ascii="宋体" w:hAnsi="宋体" w:cs="Tahoma"/>
          <w:color w:val="auto"/>
          <w:kern w:val="0"/>
          <w:sz w:val="24"/>
          <w:szCs w:val="24"/>
          <w:lang w:val="en-US" w:eastAsia="zh-CN" w:bidi="ar"/>
        </w:rPr>
        <w:t>15058040556，</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rFonts w:hint="eastAsia" w:ascii="宋体" w:hAnsi="宋体" w:eastAsia="宋体" w:cs="Tahoma"/>
          <w:color w:val="000000"/>
          <w:kern w:val="0"/>
          <w:sz w:val="24"/>
          <w:szCs w:val="24"/>
          <w:lang w:val="en-US" w:eastAsia="zh-CN" w:bidi="ar"/>
        </w:rPr>
      </w:pPr>
      <w:r>
        <w:rPr>
          <w:rFonts w:hint="eastAsia" w:ascii="宋体" w:hAnsi="宋体" w:eastAsia="宋体" w:cs="Tahoma"/>
          <w:color w:val="000000"/>
          <w:kern w:val="0"/>
          <w:sz w:val="24"/>
          <w:szCs w:val="24"/>
          <w:lang w:val="en-US" w:eastAsia="zh-CN" w:bidi="ar"/>
        </w:rPr>
        <w:t>联系地址：滨海村村委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rFonts w:hint="eastAsia" w:ascii="宋体" w:hAnsi="宋体" w:eastAsia="宋体" w:cs="Tahoma"/>
          <w:color w:val="000000"/>
          <w:kern w:val="0"/>
          <w:sz w:val="24"/>
          <w:szCs w:val="24"/>
          <w:lang w:val="en-US" w:eastAsia="zh-CN" w:bidi="ar"/>
        </w:rPr>
      </w:pPr>
      <w:r>
        <w:rPr>
          <w:rFonts w:hint="eastAsia" w:ascii="宋体" w:hAnsi="宋体" w:eastAsia="宋体" w:cs="Tahoma"/>
          <w:color w:val="000000"/>
          <w:kern w:val="0"/>
          <w:sz w:val="24"/>
          <w:szCs w:val="24"/>
          <w:lang w:val="en-US" w:eastAsia="zh-CN" w:bidi="ar"/>
        </w:rPr>
        <w:t>代理机构：余姚市姚诚工程管理有限公司</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rFonts w:hint="eastAsia" w:ascii="宋体" w:hAnsi="宋体" w:eastAsia="宋体" w:cs="Tahoma"/>
          <w:color w:val="000000"/>
          <w:kern w:val="0"/>
          <w:sz w:val="24"/>
          <w:szCs w:val="24"/>
          <w:lang w:val="en-US" w:eastAsia="zh-CN" w:bidi="ar"/>
        </w:rPr>
      </w:pPr>
      <w:r>
        <w:rPr>
          <w:rFonts w:hint="eastAsia" w:ascii="宋体" w:hAnsi="宋体" w:eastAsia="宋体" w:cs="Tahoma"/>
          <w:color w:val="000000"/>
          <w:kern w:val="0"/>
          <w:sz w:val="24"/>
          <w:szCs w:val="24"/>
          <w:lang w:val="en-US" w:eastAsia="zh-CN" w:bidi="ar"/>
        </w:rPr>
        <w:t>联系人：周工</w:t>
      </w:r>
      <w:r>
        <w:rPr>
          <w:rFonts w:hint="default" w:ascii="宋体" w:hAnsi="宋体" w:cs="Tahoma"/>
          <w:color w:val="000000"/>
          <w:kern w:val="0"/>
          <w:sz w:val="24"/>
          <w:szCs w:val="24"/>
          <w:lang w:eastAsia="zh-CN" w:bidi="ar"/>
        </w:rPr>
        <w:t xml:space="preserve">    </w:t>
      </w:r>
      <w:r>
        <w:rPr>
          <w:rFonts w:hint="eastAsia" w:ascii="宋体" w:hAnsi="宋体" w:eastAsia="宋体" w:cs="Tahoma"/>
          <w:color w:val="000000"/>
          <w:kern w:val="0"/>
          <w:sz w:val="24"/>
          <w:szCs w:val="24"/>
          <w:lang w:val="en-US" w:eastAsia="zh-CN" w:bidi="ar"/>
        </w:rPr>
        <w:t>联系电话：18868681317</w:t>
      </w:r>
    </w:p>
    <w:p>
      <w:pPr>
        <w:widowControl/>
        <w:shd w:val="clear" w:color="auto" w:fill="FFFFFF"/>
        <w:spacing w:line="440" w:lineRule="exact"/>
        <w:ind w:firstLine="480" w:firstLineChars="200"/>
        <w:jc w:val="left"/>
        <w:rPr>
          <w:rFonts w:ascii="宋体" w:hAnsi="宋体" w:cs="Tahoma"/>
          <w:kern w:val="0"/>
          <w:sz w:val="24"/>
        </w:rPr>
      </w:pPr>
      <w:r>
        <w:rPr>
          <w:rFonts w:hint="eastAsia" w:ascii="宋体" w:hAnsi="宋体" w:eastAsia="宋体" w:cs="Tahoma"/>
          <w:color w:val="000000"/>
          <w:kern w:val="0"/>
          <w:sz w:val="24"/>
          <w:szCs w:val="24"/>
          <w:lang w:val="en-US" w:eastAsia="zh-CN" w:bidi="ar"/>
        </w:rPr>
        <w:t>联系地址：余姚市丰南路179号五楼</w:t>
      </w:r>
      <w:r>
        <w:rPr>
          <w:rFonts w:hint="eastAsia" w:ascii="宋体" w:hAnsi="宋体" w:cs="Tahoma"/>
          <w:kern w:val="0"/>
          <w:sz w:val="24"/>
        </w:rPr>
        <w:t xml:space="preserve"> </w:t>
      </w:r>
    </w:p>
    <w:p>
      <w:pPr>
        <w:pStyle w:val="4"/>
        <w:spacing w:before="0" w:beforeAutospacing="0" w:after="0" w:afterAutospacing="0"/>
        <w:jc w:val="center"/>
        <w:rPr>
          <w:rFonts w:hint="eastAsia" w:ascii="宋体" w:hAnsi="宋体" w:eastAsia="宋体" w:cs="宋体"/>
          <w:bCs/>
          <w:kern w:val="36"/>
          <w:sz w:val="44"/>
          <w:szCs w:val="44"/>
        </w:rPr>
      </w:pPr>
    </w:p>
    <w:p>
      <w:pPr>
        <w:pStyle w:val="4"/>
        <w:spacing w:before="0" w:beforeAutospacing="0" w:after="0" w:afterAutospacing="0"/>
        <w:jc w:val="center"/>
        <w:rPr>
          <w:rFonts w:hint="eastAsia" w:ascii="宋体" w:hAnsi="宋体" w:eastAsia="宋体" w:cs="宋体"/>
          <w:sz w:val="44"/>
          <w:szCs w:val="44"/>
        </w:rPr>
      </w:pPr>
      <w:r>
        <w:rPr>
          <w:rFonts w:hint="eastAsia" w:ascii="宋体" w:hAnsi="宋体" w:eastAsia="宋体" w:cs="宋体"/>
          <w:bCs/>
          <w:kern w:val="36"/>
          <w:sz w:val="44"/>
          <w:szCs w:val="44"/>
        </w:rPr>
        <w:t>余姚市农村集体资产资源</w:t>
      </w:r>
      <w:r>
        <w:rPr>
          <w:rFonts w:hint="eastAsia" w:ascii="宋体" w:hAnsi="宋体" w:eastAsia="宋体" w:cs="宋体"/>
          <w:sz w:val="44"/>
          <w:szCs w:val="44"/>
        </w:rPr>
        <w:t>转让合同</w:t>
      </w:r>
    </w:p>
    <w:p>
      <w:pPr>
        <w:pStyle w:val="4"/>
        <w:spacing w:before="0" w:beforeAutospacing="0" w:after="0" w:afterAutospacing="0" w:line="480" w:lineRule="exact"/>
        <w:rPr>
          <w:rFonts w:hint="eastAsia" w:ascii="宋体" w:hAnsi="宋体" w:eastAsia="宋体" w:cs="宋体"/>
          <w:u w:val="single"/>
        </w:rPr>
      </w:pPr>
      <w:r>
        <w:rPr>
          <w:rFonts w:hint="eastAsia" w:ascii="宋体" w:hAnsi="宋体" w:eastAsia="宋体" w:cs="宋体"/>
        </w:rPr>
        <w:t>项目名称：</w:t>
      </w:r>
      <w:r>
        <w:rPr>
          <w:rFonts w:hint="eastAsia" w:ascii="宋体" w:hAnsi="宋体" w:eastAsia="宋体" w:cs="宋体"/>
          <w:u w:val="single"/>
        </w:rPr>
        <w:t xml:space="preserve"> </w:t>
      </w:r>
      <w:r>
        <w:rPr>
          <w:rFonts w:hint="eastAsia" w:eastAsia="宋体" w:cs="宋体"/>
          <w:u w:val="single"/>
          <w:lang w:eastAsia="zh-CN"/>
        </w:rPr>
        <w:t>小曹娥镇滨海村兴滨苑集中居住小区</w:t>
      </w:r>
      <w:r>
        <w:rPr>
          <w:rFonts w:hint="eastAsia" w:cs="宋体"/>
          <w:color w:val="auto"/>
          <w:u w:val="single"/>
          <w:lang w:val="en-US" w:eastAsia="zh-CN"/>
        </w:rPr>
        <w:t>4号楼一单元</w:t>
      </w:r>
      <w:r>
        <w:rPr>
          <w:rFonts w:hint="eastAsia" w:eastAsia="宋体" w:cs="宋体"/>
          <w:u w:val="single"/>
          <w:lang w:eastAsia="zh-CN"/>
        </w:rPr>
        <w:t>使用权转让</w:t>
      </w:r>
      <w:r>
        <w:rPr>
          <w:rFonts w:hint="eastAsia" w:ascii="宋体" w:hAnsi="宋体" w:eastAsia="宋体" w:cs="宋体"/>
          <w:u w:val="single"/>
        </w:rPr>
        <w:t xml:space="preserve"> </w:t>
      </w:r>
      <w:r>
        <w:rPr>
          <w:rFonts w:hint="eastAsia" w:ascii="宋体" w:hAnsi="宋体" w:eastAsia="宋体" w:cs="宋体"/>
        </w:rPr>
        <w:t xml:space="preserve"> </w:t>
      </w:r>
      <w:r>
        <w:rPr>
          <w:rFonts w:hint="eastAsia" w:cs="宋体"/>
          <w:lang w:val="en-US" w:eastAsia="zh-CN"/>
        </w:rPr>
        <w:t xml:space="preserve">     </w:t>
      </w:r>
      <w:r>
        <w:rPr>
          <w:rFonts w:hint="eastAsia" w:ascii="宋体" w:hAnsi="宋体" w:eastAsia="宋体" w:cs="宋体"/>
        </w:rPr>
        <w:t>项目编号：</w:t>
      </w:r>
      <w:r>
        <w:rPr>
          <w:rFonts w:hint="eastAsia" w:ascii="宋体" w:hAnsi="宋体" w:eastAsia="宋体" w:cs="宋体"/>
          <w:u w:val="single"/>
        </w:rPr>
        <w:t xml:space="preserve">     </w:t>
      </w:r>
    </w:p>
    <w:p>
      <w:pPr>
        <w:pStyle w:val="4"/>
        <w:spacing w:before="0" w:beforeAutospacing="0" w:after="0" w:afterAutospacing="0" w:line="480" w:lineRule="exact"/>
        <w:rPr>
          <w:rFonts w:hint="eastAsia" w:ascii="宋体" w:hAnsi="宋体" w:eastAsia="宋体" w:cs="宋体"/>
        </w:rPr>
      </w:pPr>
      <w:r>
        <w:rPr>
          <w:rFonts w:hint="eastAsia" w:ascii="宋体" w:hAnsi="宋体" w:eastAsia="宋体" w:cs="宋体"/>
        </w:rPr>
        <w:t>转让方（以下简称甲方）：</w:t>
      </w:r>
      <w:r>
        <w:rPr>
          <w:rFonts w:hint="eastAsia" w:ascii="宋体" w:hAnsi="宋体" w:eastAsia="宋体" w:cs="宋体"/>
          <w:u w:val="single"/>
        </w:rPr>
        <w:t>余姚市小曹娥镇滨海村股份经济合作社</w:t>
      </w:r>
    </w:p>
    <w:p>
      <w:pPr>
        <w:pStyle w:val="4"/>
        <w:spacing w:before="0" w:beforeAutospacing="0" w:after="0" w:afterAutospacing="0" w:line="480" w:lineRule="exact"/>
        <w:rPr>
          <w:rFonts w:hint="eastAsia" w:ascii="宋体" w:hAnsi="宋体" w:eastAsia="宋体" w:cs="宋体"/>
        </w:rPr>
      </w:pPr>
      <w:r>
        <w:rPr>
          <w:rFonts w:hint="eastAsia" w:ascii="宋体" w:hAnsi="宋体" w:eastAsia="宋体" w:cs="宋体"/>
        </w:rPr>
        <w:t>受让方（以下简称乙方）：</w:t>
      </w:r>
      <w:r>
        <w:rPr>
          <w:rFonts w:hint="eastAsia" w:ascii="宋体" w:hAnsi="宋体" w:eastAsia="宋体" w:cs="宋体"/>
          <w:u w:val="single"/>
        </w:rPr>
        <w:t xml:space="preserve">                          </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bCs/>
        </w:rPr>
        <w:t>《中华人民共和国物权法》、《</w:t>
      </w:r>
      <w:r>
        <w:rPr>
          <w:rFonts w:hint="default" w:cs="宋体"/>
          <w:bCs/>
        </w:rPr>
        <w:t>中华人民共和国</w:t>
      </w:r>
      <w:r>
        <w:rPr>
          <w:rFonts w:hint="eastAsia" w:eastAsia="宋体" w:cs="宋体"/>
          <w:bCs/>
          <w:lang w:val="en-US" w:eastAsia="zh-CN"/>
        </w:rPr>
        <w:t>民法典</w:t>
      </w:r>
      <w:r>
        <w:rPr>
          <w:rFonts w:hint="eastAsia" w:ascii="宋体" w:hAnsi="宋体" w:eastAsia="宋体" w:cs="宋体"/>
          <w:bCs/>
        </w:rPr>
        <w:t>》、《余姚市农村产权交易管理办法》等有关法律和规定</w:t>
      </w:r>
      <w:r>
        <w:rPr>
          <w:rFonts w:hint="eastAsia" w:ascii="宋体" w:hAnsi="宋体" w:eastAsia="宋体" w:cs="宋体"/>
        </w:rPr>
        <w:t>，甲乙双方遵循自愿、公平、诚实信用的原则，就</w:t>
      </w:r>
      <w:r>
        <w:rPr>
          <w:rFonts w:hint="eastAsia" w:ascii="宋体" w:hAnsi="宋体" w:eastAsia="宋体" w:cs="宋体"/>
          <w:u w:val="single"/>
        </w:rPr>
        <w:t xml:space="preserve"> 滨海村兴滨苑4号楼1单元集中居住小区</w:t>
      </w:r>
      <w:r>
        <w:rPr>
          <w:rFonts w:hint="eastAsia" w:cs="宋体"/>
          <w:u w:val="single"/>
          <w:lang w:val="en-US" w:eastAsia="zh-CN"/>
        </w:rPr>
        <w:t xml:space="preserve">     号房</w:t>
      </w:r>
      <w:r>
        <w:rPr>
          <w:rFonts w:hint="eastAsia" w:ascii="宋体" w:hAnsi="宋体" w:eastAsia="宋体" w:cs="宋体"/>
          <w:u w:val="single"/>
        </w:rPr>
        <w:t xml:space="preserve">  </w:t>
      </w:r>
      <w:r>
        <w:rPr>
          <w:rFonts w:hint="eastAsia" w:ascii="宋体" w:hAnsi="宋体" w:eastAsia="宋体" w:cs="宋体"/>
        </w:rPr>
        <w:t>转让相关事宜达成一致，签订本产权交易合同如下：</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第一条  转让标的</w:t>
      </w:r>
    </w:p>
    <w:p>
      <w:pPr>
        <w:pStyle w:val="4"/>
        <w:spacing w:before="0" w:beforeAutospacing="0" w:after="0" w:afterAutospacing="0" w:line="480" w:lineRule="exact"/>
        <w:ind w:firstLine="480" w:firstLineChars="200"/>
        <w:rPr>
          <w:rFonts w:hint="eastAsia" w:eastAsia="宋体" w:cs="宋体"/>
          <w:u w:val="single"/>
          <w:lang w:eastAsia="zh-CN"/>
        </w:rPr>
      </w:pPr>
      <w:r>
        <w:rPr>
          <w:rFonts w:hint="eastAsia" w:ascii="宋体" w:hAnsi="宋体" w:eastAsia="宋体" w:cs="宋体"/>
        </w:rPr>
        <w:t>本合同转让标的为：</w:t>
      </w:r>
      <w:r>
        <w:rPr>
          <w:rFonts w:hint="eastAsia" w:eastAsia="宋体" w:cs="宋体"/>
          <w:u w:val="single"/>
          <w:lang w:val="en-US" w:eastAsia="zh-CN"/>
        </w:rPr>
        <w:t>位于</w:t>
      </w:r>
      <w:r>
        <w:rPr>
          <w:rFonts w:hint="eastAsia" w:ascii="宋体" w:hAnsi="宋体"/>
          <w:color w:val="auto"/>
          <w:sz w:val="24"/>
          <w:u w:val="single"/>
          <w:lang w:val="en-US" w:eastAsia="zh-CN"/>
        </w:rPr>
        <w:t>小曹娥镇滨海村兴滨苑集中居住小区4号楼1单元</w:t>
      </w:r>
      <w:r>
        <w:rPr>
          <w:rFonts w:hint="eastAsia"/>
          <w:color w:val="auto"/>
          <w:sz w:val="24"/>
          <w:u w:val="single"/>
          <w:lang w:val="en-US" w:eastAsia="zh-CN"/>
        </w:rPr>
        <w:t xml:space="preserve">  号房。浙江省编号BDC330281120219067943542 土地证号余姚市不动产权第0062371号，不动产单元号330281008009GB01387W00000000属城镇住宅划拨用地</w:t>
      </w:r>
      <w:r>
        <w:rPr>
          <w:rFonts w:hint="eastAsia" w:eastAsia="宋体" w:cs="宋体"/>
          <w:u w:val="single"/>
          <w:lang w:eastAsia="zh-CN"/>
        </w:rPr>
        <w:t>。</w:t>
      </w:r>
    </w:p>
    <w:p>
      <w:pPr>
        <w:pStyle w:val="4"/>
        <w:spacing w:before="0" w:beforeAutospacing="0" w:after="0" w:afterAutospacing="0" w:line="480" w:lineRule="exact"/>
        <w:ind w:firstLine="480" w:firstLineChars="200"/>
        <w:rPr>
          <w:rFonts w:hint="default" w:ascii="宋体" w:hAnsi="宋体" w:eastAsia="宋体" w:cs="宋体"/>
          <w:lang w:val="en-US" w:eastAsia="zh-CN"/>
        </w:rPr>
      </w:pPr>
      <w:r>
        <w:rPr>
          <w:rFonts w:hint="eastAsia" w:eastAsia="宋体" w:cs="宋体"/>
          <w:u w:val="single"/>
          <w:lang w:val="en-US" w:eastAsia="zh-CN"/>
        </w:rPr>
        <w:t xml:space="preserve">成交价：         </w:t>
      </w:r>
      <w:r>
        <w:rPr>
          <w:rFonts w:hint="eastAsia" w:cs="宋体"/>
          <w:u w:val="single"/>
          <w:lang w:val="en-US" w:eastAsia="zh-CN"/>
        </w:rPr>
        <w:t xml:space="preserve"> </w:t>
      </w:r>
      <w:r>
        <w:rPr>
          <w:rFonts w:hint="eastAsia" w:eastAsia="宋体" w:cs="宋体"/>
          <w:u w:val="single"/>
          <w:lang w:val="en-US" w:eastAsia="zh-CN"/>
        </w:rPr>
        <w:t>元</w:t>
      </w:r>
      <w:r>
        <w:rPr>
          <w:rFonts w:hint="eastAsia" w:cs="宋体"/>
          <w:u w:val="single"/>
          <w:lang w:val="en-US" w:eastAsia="zh-CN"/>
        </w:rPr>
        <w:t xml:space="preserve">  大写：                                 </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第二条  转让标的上设置的抵押权、质权、承租权情况如下：</w:t>
      </w:r>
    </w:p>
    <w:p>
      <w:pPr>
        <w:pStyle w:val="4"/>
        <w:spacing w:before="0" w:beforeAutospacing="0" w:after="0" w:afterAutospacing="0" w:line="480" w:lineRule="exact"/>
        <w:ind w:firstLine="480" w:firstLineChars="200"/>
        <w:rPr>
          <w:rFonts w:hint="eastAsia" w:ascii="宋体" w:hAnsi="宋体" w:eastAsia="宋体" w:cs="宋体"/>
        </w:rPr>
      </w:pPr>
      <w:r>
        <w:rPr>
          <w:rFonts w:hint="eastAsia" w:cs="宋体"/>
          <w:lang w:val="en-US" w:eastAsia="zh-CN"/>
        </w:rPr>
        <w:t>1.</w:t>
      </w:r>
      <w:r>
        <w:rPr>
          <w:rFonts w:hint="eastAsia" w:ascii="宋体" w:hAnsi="宋体" w:eastAsia="宋体" w:cs="宋体"/>
        </w:rPr>
        <w:t>本合同转让标的没有设置抵押权、质权、承租权。</w:t>
      </w:r>
    </w:p>
    <w:p>
      <w:pPr>
        <w:pStyle w:val="4"/>
        <w:spacing w:before="0" w:beforeAutospacing="0" w:after="0" w:afterAutospacing="0" w:line="480" w:lineRule="exact"/>
        <w:ind w:firstLine="480" w:firstLineChars="200"/>
        <w:rPr>
          <w:rFonts w:hint="eastAsia" w:ascii="宋体" w:hAnsi="宋体" w:eastAsia="宋体" w:cs="宋体"/>
        </w:rPr>
      </w:pPr>
      <w:r>
        <w:rPr>
          <w:rFonts w:hint="eastAsia" w:cs="宋体"/>
          <w:lang w:val="en-US" w:eastAsia="zh-CN"/>
        </w:rPr>
        <w:t>2.</w:t>
      </w:r>
      <w:r>
        <w:rPr>
          <w:rFonts w:hint="eastAsia" w:ascii="宋体" w:hAnsi="宋体" w:eastAsia="宋体" w:cs="宋体"/>
        </w:rPr>
        <w:t>转让方已对上述权利的享有人履行了法定的告知义务。</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第三条  甲方的声明、保证和承诺</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1．对转让标的拥有合法、有效的处分权；</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2．为签订本合同之目的向乙方提交的各项证明文件及资料均为真实、完整的；</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3．签订本合同所需的包括但不限于授权、审批、单位内部决策等在内的一切批准手续均已合法有效取得，本合同成立的前提及先决条件均已满足；</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4．转让标的没有任何第三人权益，也没有违反对转让方具有约束力的公司章程、所签署的合同、协议及所有法律文件；</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5．给予一切合理及必要的协助，以完成本合同转让标的所需的有关政府主管部门的批准和变更。</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第四条 乙方的声明、保证和承诺</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1．具有签订和履行本合同的能力；</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2．签订本合同所需的各项授权、审批，以及内部决策等在内的一切批准手续均已合法有效取得；</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3．受让转让标的没有违反对受让方具有约束力的合同、协议等所有法律文件；</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第五条 转让方式、转让价格、价款支付时间和方式及付款条件</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1．转让方式为：</w:t>
      </w:r>
      <w:r>
        <w:rPr>
          <w:rFonts w:hint="eastAsia" w:ascii="宋体" w:hAnsi="宋体" w:eastAsia="宋体" w:cs="宋体"/>
          <w:u w:val="single"/>
        </w:rPr>
        <w:t xml:space="preserve">  </w:t>
      </w:r>
      <w:r>
        <w:rPr>
          <w:rFonts w:hint="eastAsia" w:eastAsia="宋体" w:cs="宋体"/>
          <w:u w:val="single"/>
          <w:lang w:val="en-US" w:eastAsia="zh-CN"/>
        </w:rPr>
        <w:t>有偿转让</w:t>
      </w:r>
      <w:r>
        <w:rPr>
          <w:rFonts w:hint="eastAsia" w:ascii="宋体" w:hAnsi="宋体" w:eastAsia="宋体" w:cs="宋体"/>
          <w:u w:val="single"/>
        </w:rPr>
        <w:t xml:space="preserve">  </w:t>
      </w:r>
      <w:r>
        <w:rPr>
          <w:rFonts w:hint="eastAsia" w:ascii="宋体" w:hAnsi="宋体" w:eastAsia="宋体" w:cs="宋体"/>
        </w:rPr>
        <w:t>。</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2．转让价格：甲方将本合同第一条规定的转让标的以人民币（大写）</w:t>
      </w:r>
      <w:r>
        <w:rPr>
          <w:rFonts w:hint="eastAsia" w:ascii="宋体" w:hAnsi="宋体" w:eastAsia="宋体" w:cs="宋体"/>
          <w:u w:val="single"/>
        </w:rPr>
        <w:t xml:space="preserve">  </w:t>
      </w:r>
      <w:r>
        <w:rPr>
          <w:rFonts w:hint="eastAsia" w:eastAsia="宋体" w:cs="宋体"/>
          <w:u w:val="single"/>
          <w:lang w:val="en-US" w:eastAsia="zh-CN"/>
        </w:rPr>
        <w:t xml:space="preserve">  </w:t>
      </w:r>
      <w:r>
        <w:rPr>
          <w:rFonts w:hint="eastAsia" w:ascii="宋体" w:hAnsi="宋体" w:eastAsia="宋体" w:cs="宋体"/>
          <w:u w:val="single"/>
        </w:rPr>
        <w:t xml:space="preserve">  </w:t>
      </w:r>
      <w:r>
        <w:rPr>
          <w:rFonts w:hint="eastAsia" w:ascii="宋体" w:hAnsi="宋体" w:eastAsia="宋体" w:cs="宋体"/>
          <w:u w:val="none"/>
        </w:rPr>
        <w:t xml:space="preserve">   </w:t>
      </w:r>
      <w:r>
        <w:rPr>
          <w:rFonts w:hint="eastAsia" w:ascii="宋体" w:hAnsi="宋体" w:eastAsia="宋体" w:cs="宋体"/>
        </w:rPr>
        <w:t>元整；即：（小写）¥</w:t>
      </w:r>
      <w:r>
        <w:rPr>
          <w:rFonts w:hint="eastAsia" w:ascii="宋体" w:hAnsi="宋体" w:eastAsia="宋体" w:cs="宋体"/>
          <w:u w:val="single"/>
        </w:rPr>
        <w:t xml:space="preserve">           </w:t>
      </w:r>
      <w:r>
        <w:rPr>
          <w:rFonts w:hint="eastAsia" w:ascii="宋体" w:hAnsi="宋体" w:eastAsia="宋体" w:cs="宋体"/>
        </w:rPr>
        <w:t>（以下简称"转让价款"）转让给乙方。</w:t>
      </w:r>
    </w:p>
    <w:p>
      <w:pPr>
        <w:pStyle w:val="4"/>
        <w:spacing w:before="0" w:beforeAutospacing="0" w:after="0" w:afterAutospacing="0" w:line="480" w:lineRule="exact"/>
        <w:ind w:firstLine="480" w:firstLineChars="200"/>
        <w:rPr>
          <w:rFonts w:hint="eastAsia" w:ascii="宋体" w:hAnsi="宋体" w:eastAsia="宋体" w:cs="宋体"/>
          <w:u w:val="single"/>
        </w:rPr>
      </w:pPr>
      <w:r>
        <w:rPr>
          <w:rFonts w:hint="eastAsia" w:ascii="宋体" w:hAnsi="宋体" w:eastAsia="宋体" w:cs="宋体"/>
        </w:rPr>
        <w:t>3．转让价款支付方式为：</w:t>
      </w:r>
      <w:r>
        <w:rPr>
          <w:rFonts w:hint="eastAsia" w:ascii="宋体" w:hAnsi="宋体" w:eastAsia="宋体" w:cs="宋体"/>
          <w:u w:val="single"/>
        </w:rPr>
        <w:t>竞买成交的，竞买人应在合同签订后5个工作日内将余款缴入指定账户。</w:t>
      </w:r>
    </w:p>
    <w:p>
      <w:pPr>
        <w:pStyle w:val="4"/>
        <w:spacing w:before="0" w:beforeAutospacing="0" w:after="0" w:afterAutospacing="0" w:line="480" w:lineRule="exact"/>
        <w:ind w:firstLine="480" w:firstLineChars="200"/>
        <w:jc w:val="both"/>
        <w:rPr>
          <w:rFonts w:hint="default" w:ascii="宋体" w:hAnsi="宋体" w:eastAsia="宋体" w:cs="宋体"/>
          <w:lang w:val="en-US" w:eastAsia="zh-CN"/>
        </w:rPr>
      </w:pPr>
      <w:r>
        <w:rPr>
          <w:rFonts w:hint="eastAsia" w:eastAsia="宋体" w:cs="宋体"/>
          <w:lang w:val="en-US" w:eastAsia="zh-CN"/>
        </w:rPr>
        <w:t>4.乙方在竞得标的后，需按规定缴纳2年物业费，每月2元/平方，两年合计</w:t>
      </w:r>
      <w:r>
        <w:rPr>
          <w:rFonts w:hint="eastAsia" w:cs="宋体"/>
          <w:u w:val="single"/>
          <w:lang w:val="en-US" w:eastAsia="zh-CN"/>
        </w:rPr>
        <w:t xml:space="preserve">  </w:t>
      </w:r>
      <w:r>
        <w:rPr>
          <w:rFonts w:hint="eastAsia" w:eastAsia="宋体" w:cs="宋体"/>
          <w:lang w:val="en-US" w:eastAsia="zh-CN"/>
        </w:rPr>
        <w:t>元。</w:t>
      </w:r>
    </w:p>
    <w:p>
      <w:pPr>
        <w:pStyle w:val="4"/>
        <w:spacing w:before="0" w:beforeAutospacing="0" w:after="0" w:afterAutospacing="0" w:line="480" w:lineRule="exact"/>
        <w:ind w:firstLine="480" w:firstLineChars="200"/>
        <w:jc w:val="both"/>
        <w:rPr>
          <w:rFonts w:hint="eastAsia" w:ascii="宋体" w:hAnsi="宋体" w:eastAsia="宋体" w:cs="宋体"/>
        </w:rPr>
      </w:pPr>
      <w:r>
        <w:rPr>
          <w:rFonts w:hint="eastAsia" w:ascii="宋体" w:hAnsi="宋体" w:eastAsia="宋体" w:cs="宋体"/>
        </w:rPr>
        <w:t>第六条 转让标的的交割事项</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1．房地产实物交割时间：应自乙方签订合同并付清成交价款后</w:t>
      </w:r>
      <w:r>
        <w:rPr>
          <w:rFonts w:hint="eastAsia" w:eastAsia="宋体" w:cs="宋体"/>
          <w:u w:val="single"/>
          <w:lang w:val="en-US" w:eastAsia="zh-CN"/>
        </w:rPr>
        <w:t>10</w:t>
      </w:r>
      <w:r>
        <w:rPr>
          <w:rFonts w:hint="eastAsia" w:ascii="宋体" w:hAnsi="宋体" w:eastAsia="宋体" w:cs="宋体"/>
          <w:u w:val="single"/>
        </w:rPr>
        <w:t xml:space="preserve"> </w:t>
      </w:r>
      <w:r>
        <w:rPr>
          <w:rFonts w:hint="eastAsia" w:ascii="宋体" w:hAnsi="宋体" w:eastAsia="宋体" w:cs="宋体"/>
        </w:rPr>
        <w:t>日内完成实物交割。</w:t>
      </w:r>
    </w:p>
    <w:p>
      <w:pPr>
        <w:pStyle w:val="4"/>
        <w:spacing w:before="0" w:beforeAutospacing="0" w:after="0" w:afterAutospacing="0" w:line="480" w:lineRule="exact"/>
        <w:ind w:firstLine="480" w:firstLineChars="200"/>
        <w:jc w:val="both"/>
        <w:rPr>
          <w:rFonts w:hint="eastAsia" w:ascii="宋体" w:hAnsi="宋体" w:eastAsia="宋体" w:cs="宋体"/>
        </w:rPr>
      </w:pPr>
      <w:r>
        <w:rPr>
          <w:rFonts w:hint="eastAsia" w:ascii="宋体" w:hAnsi="宋体" w:eastAsia="宋体" w:cs="宋体"/>
        </w:rPr>
        <w:t>2．权证交割：甲方应自乙方签订合同并付清成交价款后</w:t>
      </w:r>
      <w:r>
        <w:rPr>
          <w:rFonts w:hint="eastAsia" w:ascii="宋体" w:hAnsi="宋体" w:eastAsia="宋体" w:cs="宋体"/>
          <w:u w:val="single"/>
        </w:rPr>
        <w:t xml:space="preserve"> </w:t>
      </w:r>
      <w:r>
        <w:rPr>
          <w:rFonts w:hint="eastAsia" w:eastAsia="宋体" w:cs="宋体"/>
          <w:u w:val="single"/>
          <w:lang w:val="en-US" w:eastAsia="zh-CN"/>
        </w:rPr>
        <w:t>10</w:t>
      </w:r>
      <w:r>
        <w:rPr>
          <w:rFonts w:hint="eastAsia" w:ascii="宋体" w:hAnsi="宋体" w:eastAsia="宋体" w:cs="宋体"/>
          <w:u w:val="single"/>
        </w:rPr>
        <w:t xml:space="preserve"> </w:t>
      </w:r>
      <w:r>
        <w:rPr>
          <w:rFonts w:hint="eastAsia" w:ascii="宋体" w:hAnsi="宋体" w:eastAsia="宋体" w:cs="宋体"/>
        </w:rPr>
        <w:t xml:space="preserve"> 日内将土地使用权证等有关证件点交乙方，由乙方出具收到凭证。</w:t>
      </w:r>
    </w:p>
    <w:p>
      <w:pPr>
        <w:pStyle w:val="4"/>
        <w:spacing w:before="0" w:beforeAutospacing="0" w:after="0" w:afterAutospacing="0" w:line="480" w:lineRule="exact"/>
        <w:ind w:firstLine="480" w:firstLineChars="200"/>
        <w:jc w:val="both"/>
        <w:rPr>
          <w:rFonts w:hint="eastAsia" w:ascii="宋体" w:hAnsi="宋体" w:eastAsia="宋体" w:cs="宋体"/>
        </w:rPr>
      </w:pPr>
      <w:r>
        <w:rPr>
          <w:rFonts w:hint="eastAsia" w:ascii="宋体" w:hAnsi="宋体" w:eastAsia="宋体" w:cs="宋体"/>
        </w:rPr>
        <w:t>3．实物交割及权证交割均由甲方负责完成。</w:t>
      </w:r>
    </w:p>
    <w:p>
      <w:pPr>
        <w:pStyle w:val="4"/>
        <w:spacing w:before="0" w:beforeAutospacing="0" w:after="0" w:afterAutospacing="0" w:line="480" w:lineRule="exact"/>
        <w:ind w:firstLine="480" w:firstLineChars="200"/>
        <w:jc w:val="both"/>
        <w:rPr>
          <w:rFonts w:hint="eastAsia" w:ascii="宋体" w:hAnsi="宋体" w:eastAsia="宋体" w:cs="宋体"/>
          <w:color w:val="auto"/>
          <w:highlight w:val="none"/>
        </w:rPr>
      </w:pPr>
      <w:r>
        <w:rPr>
          <w:rFonts w:hint="eastAsia" w:ascii="宋体" w:hAnsi="宋体" w:eastAsia="宋体" w:cs="宋体"/>
          <w:color w:val="auto"/>
          <w:highlight w:val="none"/>
        </w:rPr>
        <w:t>4．转让标的目前只有村集体产权证，今后如符合国家规定条件可以单独做不动产证，转让方协助办理，但产生的费用由竞得人自行承担。</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第七条 转让涉及的有关费用负担</w:t>
      </w:r>
    </w:p>
    <w:p>
      <w:pPr>
        <w:pStyle w:val="4"/>
        <w:spacing w:before="0" w:beforeAutospacing="0" w:after="0" w:afterAutospacing="0" w:line="480" w:lineRule="exact"/>
        <w:rPr>
          <w:rFonts w:hint="eastAsia" w:ascii="宋体" w:hAnsi="宋体" w:eastAsia="宋体" w:cs="宋体"/>
        </w:rPr>
      </w:pPr>
      <w:r>
        <w:rPr>
          <w:rFonts w:hint="eastAsia" w:ascii="宋体" w:hAnsi="宋体" w:eastAsia="宋体" w:cs="宋体"/>
        </w:rPr>
        <w:t xml:space="preserve">    </w:t>
      </w:r>
      <w:r>
        <w:rPr>
          <w:rFonts w:hint="eastAsia" w:eastAsia="宋体" w:cs="宋体"/>
          <w:lang w:val="en-US" w:eastAsia="zh-CN"/>
        </w:rPr>
        <w:t>1</w:t>
      </w:r>
      <w:r>
        <w:rPr>
          <w:rFonts w:hint="eastAsia" w:ascii="宋体" w:hAnsi="宋体" w:eastAsia="宋体" w:cs="宋体"/>
        </w:rPr>
        <w:t>．其余的一切费用（包括不限于标的物拖欠的物业费、卫、水、电、气、有线电视、及过户时可能需缴纳的房屋维修基金、土地划拨应缴纳的转让金等费用）均由买受人承担。</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第八条 争议的解决方式</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当事人之间发生争议的，应由双方协商解决或向</w:t>
      </w:r>
      <w:r>
        <w:rPr>
          <w:rFonts w:hint="eastAsia" w:eastAsia="宋体" w:cs="宋体"/>
          <w:lang w:eastAsia="zh-CN"/>
        </w:rPr>
        <w:t>余姚市公共资源交易</w:t>
      </w:r>
      <w:r>
        <w:rPr>
          <w:rFonts w:hint="eastAsia" w:cs="宋体"/>
          <w:lang w:val="en-US" w:eastAsia="zh-CN"/>
        </w:rPr>
        <w:t>管理办公室</w:t>
      </w:r>
      <w:r>
        <w:rPr>
          <w:rFonts w:hint="eastAsia" w:ascii="宋体" w:hAnsi="宋体" w:eastAsia="宋体" w:cs="宋体"/>
        </w:rPr>
        <w:t>申请调解，协商或调解不成的，可依法向产权所在地人民法院起诉。</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第九条 合同各方的违约责任</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1．本合同生效后，甲乙任何一方无故提出终止合同，应向对方一次性支付违约金</w:t>
      </w:r>
      <w:r>
        <w:rPr>
          <w:rFonts w:hint="eastAsia" w:eastAsia="宋体" w:cs="宋体"/>
          <w:u w:val="single"/>
          <w:lang w:val="en-US" w:eastAsia="zh-CN"/>
        </w:rPr>
        <w:t>2</w:t>
      </w:r>
      <w:r>
        <w:rPr>
          <w:rFonts w:hint="eastAsia" w:ascii="宋体" w:hAnsi="宋体" w:eastAsia="宋体" w:cs="宋体"/>
        </w:rPr>
        <w:t>万元，给对方造成损失的，还应承担相应的赔偿责任。</w:t>
      </w:r>
    </w:p>
    <w:p>
      <w:pPr>
        <w:pStyle w:val="4"/>
        <w:spacing w:before="0" w:beforeAutospacing="0" w:after="0" w:afterAutospacing="0" w:line="480" w:lineRule="exact"/>
        <w:ind w:firstLine="480" w:firstLineChars="200"/>
        <w:jc w:val="both"/>
        <w:rPr>
          <w:rFonts w:hint="eastAsia" w:ascii="宋体" w:hAnsi="宋体" w:eastAsia="宋体" w:cs="宋体"/>
        </w:rPr>
      </w:pPr>
      <w:r>
        <w:rPr>
          <w:rFonts w:hint="eastAsia" w:ascii="宋体" w:hAnsi="宋体" w:eastAsia="宋体" w:cs="宋体"/>
        </w:rPr>
        <w:t>2．乙方如未按规定日期签订合同并支付产权转让价款，竞价保证金不予退还。</w:t>
      </w:r>
    </w:p>
    <w:p>
      <w:pPr>
        <w:pStyle w:val="4"/>
        <w:spacing w:before="0" w:beforeAutospacing="0" w:after="0" w:afterAutospacing="0" w:line="480" w:lineRule="exact"/>
        <w:ind w:firstLine="480" w:firstLineChars="200"/>
        <w:jc w:val="both"/>
        <w:rPr>
          <w:rFonts w:hint="eastAsia" w:ascii="宋体" w:hAnsi="宋体" w:eastAsia="宋体" w:cs="宋体"/>
        </w:rPr>
      </w:pPr>
      <w:r>
        <w:rPr>
          <w:rFonts w:hint="eastAsia" w:ascii="宋体" w:hAnsi="宋体" w:eastAsia="宋体" w:cs="宋体"/>
        </w:rPr>
        <w:t>3．甲方如未能按规定日期交付标的实物及权证（由乙方引起的原因除外），向受让人支付</w:t>
      </w:r>
      <w:r>
        <w:rPr>
          <w:rFonts w:hint="eastAsia" w:cs="宋体"/>
          <w:u w:val="single"/>
          <w:lang w:val="en-US" w:eastAsia="zh-CN"/>
        </w:rPr>
        <w:t>1</w:t>
      </w:r>
      <w:r>
        <w:rPr>
          <w:rFonts w:hint="eastAsia" w:eastAsia="宋体" w:cs="宋体"/>
          <w:u w:val="single"/>
          <w:lang w:val="en-US" w:eastAsia="zh-CN"/>
        </w:rPr>
        <w:t>000</w:t>
      </w:r>
      <w:r>
        <w:rPr>
          <w:rFonts w:hint="eastAsia" w:ascii="宋体" w:hAnsi="宋体" w:eastAsia="宋体" w:cs="宋体"/>
        </w:rPr>
        <w:t>元</w:t>
      </w:r>
      <w:r>
        <w:rPr>
          <w:rFonts w:hint="eastAsia" w:eastAsia="宋体" w:cs="宋体"/>
          <w:lang w:val="en-US" w:eastAsia="zh-CN"/>
        </w:rPr>
        <w:t>/天</w:t>
      </w:r>
      <w:r>
        <w:rPr>
          <w:rFonts w:hint="eastAsia" w:ascii="宋体" w:hAnsi="宋体" w:eastAsia="宋体" w:cs="宋体"/>
        </w:rPr>
        <w:t>违约金。</w:t>
      </w:r>
    </w:p>
    <w:p>
      <w:pPr>
        <w:pStyle w:val="4"/>
        <w:spacing w:before="0" w:beforeAutospacing="0" w:after="0" w:afterAutospacing="0" w:line="480" w:lineRule="exact"/>
        <w:ind w:firstLine="480" w:firstLineChars="200"/>
        <w:jc w:val="both"/>
        <w:rPr>
          <w:rFonts w:hint="eastAsia" w:ascii="宋体" w:hAnsi="宋体" w:eastAsia="宋体" w:cs="宋体"/>
        </w:rPr>
      </w:pPr>
      <w:r>
        <w:rPr>
          <w:rFonts w:hint="eastAsia" w:ascii="宋体" w:hAnsi="宋体" w:eastAsia="宋体" w:cs="宋体"/>
        </w:rPr>
        <w:t>4．由于一方的过错造成本合同不能履行、不能完全履行或被政府有关部门认定为无效时，由过错的一方承担违约责任，双方均有过错的，则由双方按责任大小承担各自相应的责任。</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第十条 法律适用</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本合同的适用和解释均为中华人民共和国的法律。</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第十一条 合同的变更和解除</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当事人双方协商一致，可以变更或解除本合同。</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发生下列情况之一时，一方可以解除本合同。</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1．由于不可抗力或不可归责于双方的原因致使本合同的目的无法实现的。</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2．另一方丧失实际履约能力的。</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3．另一方在合同约定期限内没有履行合同或有其它违约行为致使不能实现合同目的。</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变更或解除本合同均应采用书面形式，并送</w:t>
      </w:r>
      <w:r>
        <w:rPr>
          <w:rFonts w:hint="eastAsia" w:cs="宋体"/>
          <w:lang w:eastAsia="zh-CN"/>
        </w:rPr>
        <w:t>余姚市公共资源交易中心小曹娥镇分中心</w:t>
      </w:r>
      <w:r>
        <w:rPr>
          <w:rFonts w:hint="eastAsia" w:ascii="宋体" w:hAnsi="宋体" w:eastAsia="宋体" w:cs="宋体"/>
        </w:rPr>
        <w:t>及相关部门备案。</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第十二条 合同的生效</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本合同由各乡镇（街道）经管站鉴证，自甲、乙双方签字之日起生效。</w:t>
      </w:r>
    </w:p>
    <w:p>
      <w:pPr>
        <w:pStyle w:val="4"/>
        <w:spacing w:before="0" w:beforeAutospacing="0" w:after="0" w:afterAutospacing="0" w:line="480" w:lineRule="exact"/>
        <w:ind w:firstLine="480" w:firstLineChars="200"/>
        <w:rPr>
          <w:rFonts w:hint="eastAsia" w:ascii="宋体" w:hAnsi="宋体" w:eastAsia="宋体" w:cs="宋体"/>
        </w:rPr>
      </w:pPr>
      <w:r>
        <w:rPr>
          <w:rFonts w:hint="eastAsia" w:ascii="宋体" w:hAnsi="宋体" w:eastAsia="宋体" w:cs="宋体"/>
        </w:rPr>
        <w:t>第十三条 其他约定事项</w:t>
      </w:r>
    </w:p>
    <w:p>
      <w:pPr>
        <w:pStyle w:val="4"/>
        <w:spacing w:before="0" w:beforeAutospacing="0" w:after="0" w:afterAutospacing="0" w:line="480" w:lineRule="exact"/>
        <w:ind w:firstLine="480" w:firstLineChars="200"/>
        <w:jc w:val="both"/>
        <w:rPr>
          <w:rFonts w:hint="eastAsia" w:ascii="宋体" w:hAnsi="宋体" w:eastAsia="宋体" w:cs="宋体"/>
        </w:rPr>
      </w:pPr>
      <w:r>
        <w:rPr>
          <w:rFonts w:hint="eastAsia" w:ascii="宋体" w:hAnsi="宋体" w:eastAsia="宋体" w:cs="宋体"/>
        </w:rPr>
        <w:t>1．如标的土地使用权类型为国有划拨，竞价转让的底价均按现状划拨用地确定。标的成交后，受让人（买受人）自行办理房屋过户及国有划拨土地转为国有转让土地的变更手续，并承担应补交的土地转让金。</w:t>
      </w:r>
    </w:p>
    <w:p>
      <w:pPr>
        <w:pStyle w:val="4"/>
        <w:spacing w:before="0" w:beforeAutospacing="0" w:after="0" w:afterAutospacing="0" w:line="480" w:lineRule="exact"/>
        <w:ind w:firstLine="480" w:firstLineChars="200"/>
        <w:jc w:val="both"/>
        <w:rPr>
          <w:rFonts w:hint="eastAsia" w:ascii="宋体" w:hAnsi="宋体" w:eastAsia="宋体" w:cs="宋体"/>
        </w:rPr>
      </w:pPr>
      <w:r>
        <w:rPr>
          <w:rFonts w:hint="eastAsia" w:eastAsia="宋体" w:cs="宋体"/>
          <w:lang w:val="en-US" w:eastAsia="zh-CN"/>
        </w:rPr>
        <w:t>2</w:t>
      </w:r>
      <w:r>
        <w:rPr>
          <w:rFonts w:hint="eastAsia" w:ascii="宋体" w:hAnsi="宋体" w:eastAsia="宋体" w:cs="宋体"/>
        </w:rPr>
        <w:t>．乙方应服从房地产所在地政府规划要求。</w:t>
      </w:r>
    </w:p>
    <w:p>
      <w:pPr>
        <w:pStyle w:val="4"/>
        <w:spacing w:before="0" w:beforeAutospacing="0" w:after="0" w:afterAutospacing="0" w:line="480" w:lineRule="exact"/>
        <w:ind w:firstLine="480" w:firstLineChars="200"/>
        <w:rPr>
          <w:rFonts w:hint="eastAsia" w:ascii="宋体" w:hAnsi="宋体" w:eastAsia="宋体" w:cs="宋体"/>
        </w:rPr>
      </w:pPr>
      <w:r>
        <w:rPr>
          <w:rFonts w:hint="eastAsia" w:eastAsia="宋体" w:cs="宋体"/>
          <w:lang w:val="en-US" w:eastAsia="zh-CN"/>
        </w:rPr>
        <w:t>3</w:t>
      </w:r>
      <w:r>
        <w:rPr>
          <w:rFonts w:hint="eastAsia" w:ascii="宋体" w:hAnsi="宋体" w:eastAsia="宋体" w:cs="宋体"/>
        </w:rPr>
        <w:t>．本合同一式四份，甲乙双方各执一份，乡镇（街道）农村产权交易工作领导小组、农村产权交易中心各一份。</w:t>
      </w:r>
    </w:p>
    <w:p>
      <w:pPr>
        <w:pStyle w:val="4"/>
        <w:spacing w:before="0" w:beforeAutospacing="0" w:after="0" w:afterAutospacing="0" w:line="480" w:lineRule="exact"/>
        <w:rPr>
          <w:rFonts w:hint="eastAsia" w:ascii="宋体" w:hAnsi="宋体" w:eastAsia="宋体" w:cs="宋体"/>
        </w:rPr>
      </w:pPr>
      <w:r>
        <w:rPr>
          <w:rFonts w:hint="eastAsia" w:ascii="宋体" w:hAnsi="宋体" w:eastAsia="宋体" w:cs="宋体"/>
        </w:rPr>
        <w:t>甲方（盖章）:                          乙方（盖章）:</w:t>
      </w:r>
      <w:r>
        <w:rPr>
          <w:rFonts w:hint="eastAsia" w:ascii="宋体" w:hAnsi="宋体" w:eastAsia="宋体" w:cs="宋体"/>
        </w:rPr>
        <w:br w:type="textWrapping"/>
      </w:r>
      <w:r>
        <w:rPr>
          <w:rFonts w:hint="eastAsia" w:ascii="宋体" w:hAnsi="宋体" w:eastAsia="宋体" w:cs="宋体"/>
        </w:rPr>
        <w:t>法定代表人或受委托人（签字）:          法定代表人或受委托人（签字）:</w:t>
      </w:r>
    </w:p>
    <w:p>
      <w:pPr>
        <w:pStyle w:val="4"/>
        <w:spacing w:before="0" w:beforeAutospacing="0" w:after="0" w:afterAutospacing="0" w:line="480" w:lineRule="exact"/>
        <w:ind w:left="4668" w:leftChars="2223"/>
        <w:rPr>
          <w:rFonts w:hint="eastAsia" w:ascii="宋体" w:hAnsi="宋体" w:eastAsia="宋体" w:cs="宋体"/>
        </w:rPr>
      </w:pPr>
      <w:r>
        <w:rPr>
          <w:rFonts w:hint="eastAsia" w:ascii="宋体" w:hAnsi="宋体" w:eastAsia="宋体" w:cs="宋体"/>
        </w:rPr>
        <w:t>身份证号码：</w:t>
      </w:r>
      <w:r>
        <w:rPr>
          <w:rFonts w:hint="eastAsia" w:ascii="宋体" w:hAnsi="宋体" w:eastAsia="宋体" w:cs="宋体"/>
        </w:rPr>
        <w:br w:type="textWrapping"/>
      </w:r>
      <w:r>
        <w:rPr>
          <w:rFonts w:hint="eastAsia" w:ascii="宋体" w:hAnsi="宋体" w:eastAsia="宋体" w:cs="宋体"/>
        </w:rPr>
        <w:t>联系电话：</w:t>
      </w:r>
    </w:p>
    <w:p>
      <w:pPr>
        <w:pStyle w:val="4"/>
        <w:spacing w:before="0" w:beforeAutospacing="0" w:after="0" w:afterAutospacing="0" w:line="480" w:lineRule="exact"/>
        <w:rPr>
          <w:rFonts w:hint="eastAsia" w:ascii="宋体" w:hAnsi="宋体" w:eastAsia="宋体" w:cs="宋体"/>
        </w:rPr>
      </w:pPr>
    </w:p>
    <w:p>
      <w:pPr>
        <w:pStyle w:val="4"/>
        <w:spacing w:before="0" w:beforeAutospacing="0" w:after="0" w:afterAutospacing="0" w:line="480" w:lineRule="exact"/>
      </w:pPr>
      <w:r>
        <w:rPr>
          <w:rFonts w:hint="eastAsia" w:ascii="宋体" w:hAnsi="宋体" w:eastAsia="宋体" w:cs="宋体"/>
          <w:lang w:val="en-US" w:eastAsia="zh-CN"/>
        </w:rPr>
        <w:t>签订日期：      年   月   日</w:t>
      </w:r>
    </w:p>
    <w:sectPr>
      <w:pgSz w:w="11906" w:h="16838"/>
      <w:pgMar w:top="600" w:right="1633" w:bottom="1270" w:left="163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xNTQzZTY0MjdkNjgxMWE1ZGFhMGUxYWVlZmJmNDcifQ=="/>
  </w:docVars>
  <w:rsids>
    <w:rsidRoot w:val="000D32B9"/>
    <w:rsid w:val="000D32B9"/>
    <w:rsid w:val="00661722"/>
    <w:rsid w:val="00682A33"/>
    <w:rsid w:val="007E1385"/>
    <w:rsid w:val="00FD6CED"/>
    <w:rsid w:val="01C21D57"/>
    <w:rsid w:val="01D23896"/>
    <w:rsid w:val="026C4FD1"/>
    <w:rsid w:val="028C3455"/>
    <w:rsid w:val="02F4124E"/>
    <w:rsid w:val="03271998"/>
    <w:rsid w:val="033121FC"/>
    <w:rsid w:val="04826D2E"/>
    <w:rsid w:val="04A04697"/>
    <w:rsid w:val="04B70785"/>
    <w:rsid w:val="04BE0EC9"/>
    <w:rsid w:val="04FC263C"/>
    <w:rsid w:val="051013BB"/>
    <w:rsid w:val="051373CF"/>
    <w:rsid w:val="053A3164"/>
    <w:rsid w:val="055C6608"/>
    <w:rsid w:val="056C586D"/>
    <w:rsid w:val="058D2319"/>
    <w:rsid w:val="059E7B97"/>
    <w:rsid w:val="060F0C4E"/>
    <w:rsid w:val="0617343C"/>
    <w:rsid w:val="06190FCC"/>
    <w:rsid w:val="065A3ABE"/>
    <w:rsid w:val="06742D4B"/>
    <w:rsid w:val="069D39AB"/>
    <w:rsid w:val="0717375D"/>
    <w:rsid w:val="077815BB"/>
    <w:rsid w:val="077B571F"/>
    <w:rsid w:val="07860A1B"/>
    <w:rsid w:val="07862691"/>
    <w:rsid w:val="07B77B5D"/>
    <w:rsid w:val="07D51A9A"/>
    <w:rsid w:val="07FC3C34"/>
    <w:rsid w:val="08826305"/>
    <w:rsid w:val="08AB2150"/>
    <w:rsid w:val="08BA6CB3"/>
    <w:rsid w:val="08F37A21"/>
    <w:rsid w:val="095B7DA6"/>
    <w:rsid w:val="09757349"/>
    <w:rsid w:val="09CB6E1C"/>
    <w:rsid w:val="0A59408D"/>
    <w:rsid w:val="0A73514E"/>
    <w:rsid w:val="0A783EE1"/>
    <w:rsid w:val="0A935B6C"/>
    <w:rsid w:val="0AF96C9B"/>
    <w:rsid w:val="0B8B57B3"/>
    <w:rsid w:val="0B903ADE"/>
    <w:rsid w:val="0BC916DA"/>
    <w:rsid w:val="0C133AE0"/>
    <w:rsid w:val="0C20032C"/>
    <w:rsid w:val="0C796030"/>
    <w:rsid w:val="0CF82398"/>
    <w:rsid w:val="0D6A4974"/>
    <w:rsid w:val="0E8F5E73"/>
    <w:rsid w:val="0E9D1EE3"/>
    <w:rsid w:val="0F15107A"/>
    <w:rsid w:val="0F5A4B2F"/>
    <w:rsid w:val="0F6254B2"/>
    <w:rsid w:val="0F971872"/>
    <w:rsid w:val="100E76C7"/>
    <w:rsid w:val="103C7594"/>
    <w:rsid w:val="109C159F"/>
    <w:rsid w:val="115630D4"/>
    <w:rsid w:val="117C5B6F"/>
    <w:rsid w:val="119101CD"/>
    <w:rsid w:val="11ED1C8A"/>
    <w:rsid w:val="12357A4F"/>
    <w:rsid w:val="12723F3D"/>
    <w:rsid w:val="12BC165D"/>
    <w:rsid w:val="12D534AA"/>
    <w:rsid w:val="131E12E0"/>
    <w:rsid w:val="13545D39"/>
    <w:rsid w:val="135A334F"/>
    <w:rsid w:val="1360648C"/>
    <w:rsid w:val="13824654"/>
    <w:rsid w:val="139307A6"/>
    <w:rsid w:val="13A520F1"/>
    <w:rsid w:val="13EC760B"/>
    <w:rsid w:val="13F629D0"/>
    <w:rsid w:val="14172FEE"/>
    <w:rsid w:val="144B171E"/>
    <w:rsid w:val="14AD1063"/>
    <w:rsid w:val="14E00C05"/>
    <w:rsid w:val="14EA48E1"/>
    <w:rsid w:val="14EB6759"/>
    <w:rsid w:val="152170E6"/>
    <w:rsid w:val="15251AA6"/>
    <w:rsid w:val="1574621E"/>
    <w:rsid w:val="15A212D6"/>
    <w:rsid w:val="160E0D5C"/>
    <w:rsid w:val="17740758"/>
    <w:rsid w:val="17B2105D"/>
    <w:rsid w:val="17C4770E"/>
    <w:rsid w:val="183D2499"/>
    <w:rsid w:val="187225DA"/>
    <w:rsid w:val="18845E51"/>
    <w:rsid w:val="1A347978"/>
    <w:rsid w:val="1A8E1B30"/>
    <w:rsid w:val="1AC16DC8"/>
    <w:rsid w:val="1AF95456"/>
    <w:rsid w:val="1AFA599F"/>
    <w:rsid w:val="1BF1078A"/>
    <w:rsid w:val="1BFC5E14"/>
    <w:rsid w:val="1CAD7B2F"/>
    <w:rsid w:val="1D1C78C7"/>
    <w:rsid w:val="1D232A04"/>
    <w:rsid w:val="1D603FCA"/>
    <w:rsid w:val="1DDF33ED"/>
    <w:rsid w:val="1DF42DDF"/>
    <w:rsid w:val="1E3B3781"/>
    <w:rsid w:val="1F1641B5"/>
    <w:rsid w:val="1F197A29"/>
    <w:rsid w:val="1F9756C4"/>
    <w:rsid w:val="1FAD1AFD"/>
    <w:rsid w:val="1FB762B9"/>
    <w:rsid w:val="1FBF712F"/>
    <w:rsid w:val="1FE62367"/>
    <w:rsid w:val="203B55ED"/>
    <w:rsid w:val="204E0BE6"/>
    <w:rsid w:val="207277FE"/>
    <w:rsid w:val="211A54AC"/>
    <w:rsid w:val="2151368C"/>
    <w:rsid w:val="215A5590"/>
    <w:rsid w:val="21D92D41"/>
    <w:rsid w:val="21FE79C4"/>
    <w:rsid w:val="22DC76ED"/>
    <w:rsid w:val="24575689"/>
    <w:rsid w:val="246062EC"/>
    <w:rsid w:val="249A5BA5"/>
    <w:rsid w:val="24D82326"/>
    <w:rsid w:val="2572277A"/>
    <w:rsid w:val="25960EE2"/>
    <w:rsid w:val="262820EC"/>
    <w:rsid w:val="272C0B2D"/>
    <w:rsid w:val="274C063A"/>
    <w:rsid w:val="278C389C"/>
    <w:rsid w:val="27B669BD"/>
    <w:rsid w:val="27D74B40"/>
    <w:rsid w:val="28607DDD"/>
    <w:rsid w:val="29037CA9"/>
    <w:rsid w:val="292C4523"/>
    <w:rsid w:val="29A04AF7"/>
    <w:rsid w:val="29E8021F"/>
    <w:rsid w:val="29F50B00"/>
    <w:rsid w:val="29F6407C"/>
    <w:rsid w:val="2A6C5CF8"/>
    <w:rsid w:val="2A9D3E90"/>
    <w:rsid w:val="2AB86CCC"/>
    <w:rsid w:val="2AD6705D"/>
    <w:rsid w:val="2B3547DE"/>
    <w:rsid w:val="2B8E2E94"/>
    <w:rsid w:val="2D4245D7"/>
    <w:rsid w:val="2DAF79B9"/>
    <w:rsid w:val="2DC65915"/>
    <w:rsid w:val="2DC722FA"/>
    <w:rsid w:val="2FEE27F1"/>
    <w:rsid w:val="30611DAC"/>
    <w:rsid w:val="30F06C49"/>
    <w:rsid w:val="31445CEE"/>
    <w:rsid w:val="314675FE"/>
    <w:rsid w:val="31801290"/>
    <w:rsid w:val="319E66A5"/>
    <w:rsid w:val="31DE2F46"/>
    <w:rsid w:val="320A6C5B"/>
    <w:rsid w:val="32D0288E"/>
    <w:rsid w:val="33815952"/>
    <w:rsid w:val="33912B7D"/>
    <w:rsid w:val="33A37D48"/>
    <w:rsid w:val="34372E5D"/>
    <w:rsid w:val="34735F7E"/>
    <w:rsid w:val="34F54EF9"/>
    <w:rsid w:val="34F605A6"/>
    <w:rsid w:val="3555351F"/>
    <w:rsid w:val="357A2F85"/>
    <w:rsid w:val="35944047"/>
    <w:rsid w:val="3608491B"/>
    <w:rsid w:val="360B0081"/>
    <w:rsid w:val="366F34D9"/>
    <w:rsid w:val="36E574EE"/>
    <w:rsid w:val="37162F49"/>
    <w:rsid w:val="37D63455"/>
    <w:rsid w:val="37DE77FC"/>
    <w:rsid w:val="37E74E66"/>
    <w:rsid w:val="37F615A1"/>
    <w:rsid w:val="384452F1"/>
    <w:rsid w:val="38752C0F"/>
    <w:rsid w:val="389810E3"/>
    <w:rsid w:val="39481EFD"/>
    <w:rsid w:val="39BB0FB2"/>
    <w:rsid w:val="3AC73D58"/>
    <w:rsid w:val="3AF46463"/>
    <w:rsid w:val="3B56277C"/>
    <w:rsid w:val="3B8870D9"/>
    <w:rsid w:val="3BAE3286"/>
    <w:rsid w:val="3BDC2118"/>
    <w:rsid w:val="3C16775F"/>
    <w:rsid w:val="3C3C7E44"/>
    <w:rsid w:val="3C5F4133"/>
    <w:rsid w:val="3CFC74AE"/>
    <w:rsid w:val="3D6E5D35"/>
    <w:rsid w:val="3D8A2E05"/>
    <w:rsid w:val="3D901BC3"/>
    <w:rsid w:val="3DFD629E"/>
    <w:rsid w:val="3E0E681F"/>
    <w:rsid w:val="3E990920"/>
    <w:rsid w:val="3EE30C45"/>
    <w:rsid w:val="3F45796F"/>
    <w:rsid w:val="3F4B7089"/>
    <w:rsid w:val="3F612BE2"/>
    <w:rsid w:val="3F6B2514"/>
    <w:rsid w:val="404445A4"/>
    <w:rsid w:val="405C39B3"/>
    <w:rsid w:val="40721ABF"/>
    <w:rsid w:val="40F92000"/>
    <w:rsid w:val="41173D7E"/>
    <w:rsid w:val="412B0214"/>
    <w:rsid w:val="414F7147"/>
    <w:rsid w:val="418B7080"/>
    <w:rsid w:val="41FC29D8"/>
    <w:rsid w:val="42000529"/>
    <w:rsid w:val="42051E29"/>
    <w:rsid w:val="425438F2"/>
    <w:rsid w:val="42EA174A"/>
    <w:rsid w:val="431F3162"/>
    <w:rsid w:val="43344D20"/>
    <w:rsid w:val="43866F99"/>
    <w:rsid w:val="43D90578"/>
    <w:rsid w:val="441D40F5"/>
    <w:rsid w:val="447F5EC2"/>
    <w:rsid w:val="44EB41B5"/>
    <w:rsid w:val="44F0577D"/>
    <w:rsid w:val="4507433C"/>
    <w:rsid w:val="45156827"/>
    <w:rsid w:val="45587577"/>
    <w:rsid w:val="457479F1"/>
    <w:rsid w:val="4663193A"/>
    <w:rsid w:val="466C55D0"/>
    <w:rsid w:val="469D2AF3"/>
    <w:rsid w:val="46DC75FC"/>
    <w:rsid w:val="46F10BCE"/>
    <w:rsid w:val="474451A1"/>
    <w:rsid w:val="4796572B"/>
    <w:rsid w:val="47D93054"/>
    <w:rsid w:val="480300D2"/>
    <w:rsid w:val="483F6BD5"/>
    <w:rsid w:val="487D1A88"/>
    <w:rsid w:val="48967C7F"/>
    <w:rsid w:val="48E13BE4"/>
    <w:rsid w:val="48E805E3"/>
    <w:rsid w:val="48F569EE"/>
    <w:rsid w:val="492E394F"/>
    <w:rsid w:val="4932633F"/>
    <w:rsid w:val="49387EBB"/>
    <w:rsid w:val="49440DA3"/>
    <w:rsid w:val="49E73600"/>
    <w:rsid w:val="4A23430B"/>
    <w:rsid w:val="4A6C64D1"/>
    <w:rsid w:val="4A870825"/>
    <w:rsid w:val="4B047D77"/>
    <w:rsid w:val="4B072171"/>
    <w:rsid w:val="4B7B668A"/>
    <w:rsid w:val="4B937937"/>
    <w:rsid w:val="4BE4059A"/>
    <w:rsid w:val="4BFB5868"/>
    <w:rsid w:val="4C186472"/>
    <w:rsid w:val="4C804A03"/>
    <w:rsid w:val="4CCD777C"/>
    <w:rsid w:val="4D526A41"/>
    <w:rsid w:val="4D5B78BD"/>
    <w:rsid w:val="4E1A2A50"/>
    <w:rsid w:val="4E2851C8"/>
    <w:rsid w:val="4E4B2AD1"/>
    <w:rsid w:val="4E57028C"/>
    <w:rsid w:val="4E8B4477"/>
    <w:rsid w:val="4EDC44D8"/>
    <w:rsid w:val="4EE04465"/>
    <w:rsid w:val="4F1D7D68"/>
    <w:rsid w:val="4F5A6560"/>
    <w:rsid w:val="4F71514F"/>
    <w:rsid w:val="4F8772FC"/>
    <w:rsid w:val="4FCE1DD5"/>
    <w:rsid w:val="4FD03C9E"/>
    <w:rsid w:val="4FFF2DFD"/>
    <w:rsid w:val="506808EA"/>
    <w:rsid w:val="50904E8B"/>
    <w:rsid w:val="50F96FFC"/>
    <w:rsid w:val="511015DA"/>
    <w:rsid w:val="511F2F07"/>
    <w:rsid w:val="51230CBC"/>
    <w:rsid w:val="514246D7"/>
    <w:rsid w:val="51645948"/>
    <w:rsid w:val="5171661B"/>
    <w:rsid w:val="51EB0750"/>
    <w:rsid w:val="51EE6477"/>
    <w:rsid w:val="524677CE"/>
    <w:rsid w:val="52547DB5"/>
    <w:rsid w:val="52C761A3"/>
    <w:rsid w:val="52DC69EC"/>
    <w:rsid w:val="530C35BB"/>
    <w:rsid w:val="53253058"/>
    <w:rsid w:val="53634C01"/>
    <w:rsid w:val="53904844"/>
    <w:rsid w:val="53EC4B44"/>
    <w:rsid w:val="5407160C"/>
    <w:rsid w:val="5420151A"/>
    <w:rsid w:val="542018A2"/>
    <w:rsid w:val="543B47CD"/>
    <w:rsid w:val="547F0581"/>
    <w:rsid w:val="54931516"/>
    <w:rsid w:val="54C71C32"/>
    <w:rsid w:val="54FA70BD"/>
    <w:rsid w:val="550623B7"/>
    <w:rsid w:val="551E5B4E"/>
    <w:rsid w:val="553473C9"/>
    <w:rsid w:val="56097CE2"/>
    <w:rsid w:val="564426DF"/>
    <w:rsid w:val="56543A75"/>
    <w:rsid w:val="56F40992"/>
    <w:rsid w:val="5738440A"/>
    <w:rsid w:val="573935CB"/>
    <w:rsid w:val="57A120FB"/>
    <w:rsid w:val="580B0978"/>
    <w:rsid w:val="580F3C10"/>
    <w:rsid w:val="581A446F"/>
    <w:rsid w:val="581D5E51"/>
    <w:rsid w:val="58640CEC"/>
    <w:rsid w:val="587A4D7D"/>
    <w:rsid w:val="58911DFC"/>
    <w:rsid w:val="58AF6217"/>
    <w:rsid w:val="58EE1944"/>
    <w:rsid w:val="594410D7"/>
    <w:rsid w:val="595B0854"/>
    <w:rsid w:val="59C95CF6"/>
    <w:rsid w:val="5A3C532D"/>
    <w:rsid w:val="5A3E78FB"/>
    <w:rsid w:val="5A432743"/>
    <w:rsid w:val="5A5816B6"/>
    <w:rsid w:val="5ACE2EED"/>
    <w:rsid w:val="5AE621E8"/>
    <w:rsid w:val="5B250340"/>
    <w:rsid w:val="5B917FC8"/>
    <w:rsid w:val="5B9B1417"/>
    <w:rsid w:val="5BF77756"/>
    <w:rsid w:val="5C193ABE"/>
    <w:rsid w:val="5C2B6E97"/>
    <w:rsid w:val="5C70282B"/>
    <w:rsid w:val="5C9035F5"/>
    <w:rsid w:val="5C9304AD"/>
    <w:rsid w:val="5CC569BA"/>
    <w:rsid w:val="5CEE7526"/>
    <w:rsid w:val="5D452960"/>
    <w:rsid w:val="5D673D12"/>
    <w:rsid w:val="5D6E7144"/>
    <w:rsid w:val="5D971024"/>
    <w:rsid w:val="5DB824DB"/>
    <w:rsid w:val="5DF272AD"/>
    <w:rsid w:val="5E1C1D35"/>
    <w:rsid w:val="5E291473"/>
    <w:rsid w:val="5E391380"/>
    <w:rsid w:val="5E3E1FE7"/>
    <w:rsid w:val="5E8F062E"/>
    <w:rsid w:val="5F895953"/>
    <w:rsid w:val="5FCF2564"/>
    <w:rsid w:val="5FDA449D"/>
    <w:rsid w:val="5FE53AEC"/>
    <w:rsid w:val="604E6DCB"/>
    <w:rsid w:val="612561DB"/>
    <w:rsid w:val="612F7244"/>
    <w:rsid w:val="61774634"/>
    <w:rsid w:val="61C471B3"/>
    <w:rsid w:val="61C87E53"/>
    <w:rsid w:val="627806C9"/>
    <w:rsid w:val="62793FEB"/>
    <w:rsid w:val="62966DA1"/>
    <w:rsid w:val="63023293"/>
    <w:rsid w:val="63311F9A"/>
    <w:rsid w:val="636A351E"/>
    <w:rsid w:val="63BD210C"/>
    <w:rsid w:val="63D14BC8"/>
    <w:rsid w:val="644B7717"/>
    <w:rsid w:val="64535FFC"/>
    <w:rsid w:val="646406A2"/>
    <w:rsid w:val="64647AE2"/>
    <w:rsid w:val="64A07C3E"/>
    <w:rsid w:val="658A4666"/>
    <w:rsid w:val="65B41596"/>
    <w:rsid w:val="65BE34FA"/>
    <w:rsid w:val="65E42E85"/>
    <w:rsid w:val="66760547"/>
    <w:rsid w:val="66FE1086"/>
    <w:rsid w:val="67050DB0"/>
    <w:rsid w:val="6716225F"/>
    <w:rsid w:val="6716400D"/>
    <w:rsid w:val="67543636"/>
    <w:rsid w:val="67EC1104"/>
    <w:rsid w:val="683619B7"/>
    <w:rsid w:val="68796F68"/>
    <w:rsid w:val="68AA3CBB"/>
    <w:rsid w:val="68B21896"/>
    <w:rsid w:val="68E836C5"/>
    <w:rsid w:val="692C7B17"/>
    <w:rsid w:val="694E3F3A"/>
    <w:rsid w:val="695D5F23"/>
    <w:rsid w:val="69BE3625"/>
    <w:rsid w:val="6A2E420B"/>
    <w:rsid w:val="6A3A44B6"/>
    <w:rsid w:val="6A5148B7"/>
    <w:rsid w:val="6A9F256B"/>
    <w:rsid w:val="6AAE12B0"/>
    <w:rsid w:val="6AE32A93"/>
    <w:rsid w:val="6BA474F5"/>
    <w:rsid w:val="6BC10CF6"/>
    <w:rsid w:val="6BE24618"/>
    <w:rsid w:val="6BE24922"/>
    <w:rsid w:val="6C687606"/>
    <w:rsid w:val="6C6B4DFB"/>
    <w:rsid w:val="6CAD5A36"/>
    <w:rsid w:val="6CE5062E"/>
    <w:rsid w:val="6CF550AC"/>
    <w:rsid w:val="6CF92406"/>
    <w:rsid w:val="6D2D296D"/>
    <w:rsid w:val="6D321DE2"/>
    <w:rsid w:val="6D9E2084"/>
    <w:rsid w:val="6DA84C1B"/>
    <w:rsid w:val="6DC06D65"/>
    <w:rsid w:val="6E3336F6"/>
    <w:rsid w:val="6E7241B5"/>
    <w:rsid w:val="6E7D568C"/>
    <w:rsid w:val="6E8A4C6E"/>
    <w:rsid w:val="70700C31"/>
    <w:rsid w:val="70D80585"/>
    <w:rsid w:val="71343F23"/>
    <w:rsid w:val="71A75241"/>
    <w:rsid w:val="71B84754"/>
    <w:rsid w:val="71E35433"/>
    <w:rsid w:val="724E6D50"/>
    <w:rsid w:val="72524E88"/>
    <w:rsid w:val="730562C1"/>
    <w:rsid w:val="73133AF6"/>
    <w:rsid w:val="731E17A0"/>
    <w:rsid w:val="74141F00"/>
    <w:rsid w:val="74273CFD"/>
    <w:rsid w:val="743E0E6A"/>
    <w:rsid w:val="75064DD9"/>
    <w:rsid w:val="75750A98"/>
    <w:rsid w:val="757E4F33"/>
    <w:rsid w:val="758F3E0F"/>
    <w:rsid w:val="761E0B37"/>
    <w:rsid w:val="76A07D97"/>
    <w:rsid w:val="76F65C09"/>
    <w:rsid w:val="77060213"/>
    <w:rsid w:val="77242776"/>
    <w:rsid w:val="77636A65"/>
    <w:rsid w:val="77BD502E"/>
    <w:rsid w:val="781B4602"/>
    <w:rsid w:val="791D3063"/>
    <w:rsid w:val="795E272E"/>
    <w:rsid w:val="79844376"/>
    <w:rsid w:val="79AB03AF"/>
    <w:rsid w:val="79B66B27"/>
    <w:rsid w:val="7A0B19CB"/>
    <w:rsid w:val="7A394843"/>
    <w:rsid w:val="7AC027B5"/>
    <w:rsid w:val="7AC65B8F"/>
    <w:rsid w:val="7AF4628D"/>
    <w:rsid w:val="7AFC2FC9"/>
    <w:rsid w:val="7B21244C"/>
    <w:rsid w:val="7B7D6D1B"/>
    <w:rsid w:val="7B8218A8"/>
    <w:rsid w:val="7B981757"/>
    <w:rsid w:val="7C030F08"/>
    <w:rsid w:val="7C033643"/>
    <w:rsid w:val="7C6C39FC"/>
    <w:rsid w:val="7C8B294F"/>
    <w:rsid w:val="7D064274"/>
    <w:rsid w:val="7D607621"/>
    <w:rsid w:val="7D80113C"/>
    <w:rsid w:val="7D936B86"/>
    <w:rsid w:val="7DC10D1E"/>
    <w:rsid w:val="7E0114AC"/>
    <w:rsid w:val="7E4A4846"/>
    <w:rsid w:val="7EB540DE"/>
    <w:rsid w:val="7EC94DE1"/>
    <w:rsid w:val="7EE6118B"/>
    <w:rsid w:val="7FB417DE"/>
    <w:rsid w:val="7FB442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widowControl/>
      <w:tabs>
        <w:tab w:val="left" w:pos="0"/>
        <w:tab w:val="left" w:pos="1260"/>
        <w:tab w:val="left" w:pos="1365"/>
      </w:tabs>
      <w:ind w:left="200" w:firstLine="200" w:firstLineChars="200"/>
      <w:jc w:val="left"/>
    </w:pPr>
    <w:rPr>
      <w:kern w:val="0"/>
      <w:sz w:val="20"/>
    </w:rPr>
  </w:style>
  <w:style w:type="paragraph" w:styleId="3">
    <w:name w:val="Body Text Indent"/>
    <w:basedOn w:val="1"/>
    <w:qFormat/>
    <w:uiPriority w:val="0"/>
    <w:pPr>
      <w:spacing w:line="200" w:lineRule="exact"/>
      <w:ind w:firstLine="301"/>
    </w:pPr>
    <w:rPr>
      <w:rFonts w:ascii="宋体" w:hAnsi="Courier New"/>
      <w:spacing w:val="-4"/>
      <w:sz w:val="18"/>
      <w:szCs w:val="20"/>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style>
  <w:style w:type="character" w:styleId="9">
    <w:name w:val="Emphasis"/>
    <w:basedOn w:val="7"/>
    <w:qFormat/>
    <w:uiPriority w:val="0"/>
  </w:style>
  <w:style w:type="character" w:styleId="10">
    <w:name w:val="HTML Definition"/>
    <w:basedOn w:val="7"/>
    <w:qFormat/>
    <w:uiPriority w:val="0"/>
  </w:style>
  <w:style w:type="character" w:styleId="11">
    <w:name w:val="HTML Variable"/>
    <w:basedOn w:val="7"/>
    <w:qFormat/>
    <w:uiPriority w:val="0"/>
  </w:style>
  <w:style w:type="character" w:styleId="12">
    <w:name w:val="HTML Code"/>
    <w:basedOn w:val="7"/>
    <w:qFormat/>
    <w:uiPriority w:val="0"/>
    <w:rPr>
      <w:rFonts w:ascii="Courier New" w:hAnsi="Courier New"/>
      <w:sz w:val="20"/>
    </w:rPr>
  </w:style>
  <w:style w:type="character" w:styleId="13">
    <w:name w:val="HTML Cite"/>
    <w:basedOn w:val="7"/>
    <w:qFormat/>
    <w:uiPriority w:val="0"/>
  </w:style>
  <w:style w:type="character" w:customStyle="1" w:styleId="14">
    <w:name w:val="x-tab-strip-text"/>
    <w:basedOn w:val="7"/>
    <w:qFormat/>
    <w:uiPriority w:val="0"/>
    <w:rPr>
      <w:color w:val="15428B"/>
    </w:rPr>
  </w:style>
  <w:style w:type="character" w:customStyle="1" w:styleId="15">
    <w:name w:val="x-tab-strip-text1"/>
    <w:basedOn w:val="7"/>
    <w:qFormat/>
    <w:uiPriority w:val="0"/>
  </w:style>
  <w:style w:type="character" w:customStyle="1" w:styleId="16">
    <w:name w:val="x-tab-strip-text2"/>
    <w:basedOn w:val="7"/>
    <w:qFormat/>
    <w:uiPriority w:val="0"/>
    <w:rPr>
      <w:rFonts w:ascii="Tahoma" w:hAnsi="Tahoma" w:eastAsia="Tahoma" w:cs="Tahoma"/>
      <w:color w:val="416AA3"/>
      <w:sz w:val="16"/>
      <w:szCs w:val="16"/>
    </w:rPr>
  </w:style>
  <w:style w:type="character" w:customStyle="1" w:styleId="17">
    <w:name w:val="x-tab-strip-text3"/>
    <w:basedOn w:val="7"/>
    <w:qFormat/>
    <w:uiPriority w:val="0"/>
  </w:style>
  <w:style w:type="character" w:customStyle="1" w:styleId="18">
    <w:name w:val="x-tab-strip-text4"/>
    <w:basedOn w:val="7"/>
    <w:qFormat/>
    <w:uiPriority w:val="0"/>
    <w:rPr>
      <w:b/>
      <w:bCs/>
      <w:color w:val="15428B"/>
    </w:rPr>
  </w:style>
  <w:style w:type="character" w:customStyle="1" w:styleId="19">
    <w:name w:val="x-tab-strip-text5"/>
    <w:basedOn w:val="7"/>
    <w:qFormat/>
    <w:uiPriority w:val="0"/>
  </w:style>
  <w:style w:type="character" w:customStyle="1" w:styleId="20">
    <w:name w:val="hover12"/>
    <w:basedOn w:val="7"/>
    <w:qFormat/>
    <w:uiPriority w:val="0"/>
    <w:rPr>
      <w:shd w:val="clear" w:color="auto" w:fill="DEECF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3691</Words>
  <Characters>4265</Characters>
  <Lines>33</Lines>
  <Paragraphs>9</Paragraphs>
  <TotalTime>3</TotalTime>
  <ScaleCrop>false</ScaleCrop>
  <LinksUpToDate>false</LinksUpToDate>
  <CharactersWithSpaces>4544</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2022-03-28T06:08:00Z</dcterms:created>
  <dc:creator>Administrator</dc:creator>
  <cp:lastModifiedBy>  Zzz</cp:lastModifiedBy>
  <dcterms:modified xsi:type="dcterms:W3CDTF">2023-04-24T09:51:47Z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6B88F2027C7E4E9F93151FE870A5AECB_13</vt:lpwstr>
  </property>
  <property fmtid="{D5CDD505-2E9C-101B-9397-08002B2CF9AE}" pid="4" name="commondata">
    <vt:lpwstr>eyJoZGlkIjoiMTdkYTBjN2YyNDEyMWVjZjQ2ZGY5ODk1NjEwNGNmMDYifQ==</vt:lpwstr>
  </property>
</Properties>
</file>