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四海大道35</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：SN（J）2022-026</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35</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：古塘公寓商铺四海大道35号，无权证，资产性质属社区集体所有，面积204.00平方米，出租期限：5年，  资产出租底价：48960元/年，租期内租金每年上浮2%，</w:t>
      </w:r>
      <w:r>
        <w:rPr>
          <w:rFonts w:hint="eastAsia" w:ascii="宋体" w:hAnsi="宋体"/>
          <w:sz w:val="24"/>
          <w:szCs w:val="24"/>
          <w:u w:val="none"/>
          <w:lang w:val="en-US" w:eastAsia="zh-CN"/>
        </w:rPr>
        <w:t>5年租金合计：254790元，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0029F"/>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A564899"/>
    <w:rsid w:val="3AC54CA3"/>
    <w:rsid w:val="3BC25741"/>
    <w:rsid w:val="3C3107DD"/>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6F715A"/>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DF50E9F"/>
    <w:rsid w:val="6E511689"/>
    <w:rsid w:val="6EA25D30"/>
    <w:rsid w:val="6F555203"/>
    <w:rsid w:val="704240C4"/>
    <w:rsid w:val="705B5186"/>
    <w:rsid w:val="71461992"/>
    <w:rsid w:val="71484D8A"/>
    <w:rsid w:val="72BE2795"/>
    <w:rsid w:val="72C83E95"/>
    <w:rsid w:val="73065793"/>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2022-01-06T08:26:03Z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