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outlineLvl w:val="0"/>
        <w:rPr>
          <w:rFonts w:ascii="宋体" w:hAnsi="宋体" w:cs="宋体"/>
          <w:b/>
          <w:color w:val="000000" w:themeColor="text1"/>
          <w:kern w:val="36"/>
          <w:sz w:val="32"/>
          <w:szCs w:val="32"/>
          <w14:textFill>
            <w14:solidFill>
              <w14:schemeClr w14:val="tx1"/>
            </w14:solidFill>
          </w14:textFill>
        </w:rPr>
      </w:pPr>
      <w:r>
        <w:rPr>
          <w:rFonts w:hint="eastAsia" w:ascii="宋体" w:hAnsi="宋体" w:cs="宋体"/>
          <w:b/>
          <w:color w:val="000000" w:themeColor="text1"/>
          <w:kern w:val="36"/>
          <w:sz w:val="32"/>
          <w:szCs w:val="32"/>
          <w14:textFill>
            <w14:solidFill>
              <w14:schemeClr w14:val="tx1"/>
            </w14:solidFill>
          </w14:textFill>
        </w:rPr>
        <w:t>余姚市农村产权交易文件</w:t>
      </w:r>
    </w:p>
    <w:p>
      <w:pPr>
        <w:widowControl/>
        <w:shd w:val="clear" w:color="auto" w:fill="FFFFFF"/>
        <w:spacing w:line="480" w:lineRule="exact"/>
        <w:ind w:firstLine="2640" w:firstLineChars="1100"/>
        <w:rPr>
          <w:rFonts w:ascii="宋体" w:hAnsi="宋体" w:cs="Tahoma"/>
          <w:color w:val="000000" w:themeColor="text1"/>
          <w:kern w:val="0"/>
          <w:sz w:val="24"/>
          <w14:textFill>
            <w14:solidFill>
              <w14:schemeClr w14:val="tx1"/>
            </w14:solidFill>
          </w14:textFill>
        </w:rPr>
      </w:pPr>
      <w:r>
        <w:rPr>
          <w:rFonts w:hint="eastAsia" w:ascii="宋体" w:hAnsi="宋体" w:cs="Tahoma"/>
          <w:color w:val="000000" w:themeColor="text1"/>
          <w:kern w:val="0"/>
          <w:sz w:val="24"/>
          <w14:textFill>
            <w14:solidFill>
              <w14:schemeClr w14:val="tx1"/>
            </w14:solidFill>
          </w14:textFill>
        </w:rPr>
        <w:t xml:space="preserve">发布日期：2022年1 月 </w:t>
      </w:r>
      <w:r>
        <w:rPr>
          <w:rFonts w:hint="eastAsia" w:ascii="宋体" w:hAnsi="宋体" w:cs="Tahoma"/>
          <w:color w:val="000000" w:themeColor="text1"/>
          <w:kern w:val="0"/>
          <w:sz w:val="24"/>
          <w:lang w:val="en-US" w:eastAsia="zh-CN"/>
          <w14:textFill>
            <w14:solidFill>
              <w14:schemeClr w14:val="tx1"/>
            </w14:solidFill>
          </w14:textFill>
        </w:rPr>
        <w:t>7</w:t>
      </w:r>
      <w:r>
        <w:rPr>
          <w:rFonts w:hint="eastAsia" w:ascii="宋体" w:hAnsi="宋体" w:cs="Tahoma"/>
          <w:color w:val="000000" w:themeColor="text1"/>
          <w:kern w:val="0"/>
          <w:sz w:val="24"/>
          <w14:textFill>
            <w14:solidFill>
              <w14:schemeClr w14:val="tx1"/>
            </w14:solidFill>
          </w14:textFill>
        </w:rPr>
        <w:t xml:space="preserve"> 日</w:t>
      </w:r>
    </w:p>
    <w:p>
      <w:pPr>
        <w:widowControl/>
        <w:shd w:val="clear" w:color="auto" w:fill="FFFFFF"/>
        <w:spacing w:line="480" w:lineRule="exact"/>
        <w:ind w:firstLine="2640" w:firstLineChars="1100"/>
        <w:rPr>
          <w:rFonts w:ascii="宋体" w:hAnsi="宋体" w:cs="Tahoma"/>
          <w:color w:val="000000" w:themeColor="text1"/>
          <w:kern w:val="0"/>
          <w:sz w:val="24"/>
          <w14:textFill>
            <w14:solidFill>
              <w14:schemeClr w14:val="tx1"/>
            </w14:solidFill>
          </w14:textFill>
        </w:rPr>
      </w:pPr>
    </w:p>
    <w:p>
      <w:pPr>
        <w:ind w:firstLine="480" w:firstLineChars="200"/>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余姚市泗门镇后塘河社区股份经济合作社定于</w:t>
      </w:r>
      <w:r>
        <w:rPr>
          <w:rFonts w:hint="eastAsia" w:ascii="宋体" w:hAnsi="宋体" w:cs="Arial"/>
          <w:b/>
          <w:color w:val="000000" w:themeColor="text1"/>
          <w:kern w:val="0"/>
          <w:sz w:val="24"/>
          <w14:textFill>
            <w14:solidFill>
              <w14:schemeClr w14:val="tx1"/>
            </w14:solidFill>
          </w14:textFill>
        </w:rPr>
        <w:t>2022年 1 月 18日 9 时</w:t>
      </w:r>
      <w:r>
        <w:rPr>
          <w:rFonts w:hint="eastAsia" w:ascii="宋体" w:hAnsi="宋体" w:cs="Arial"/>
          <w:color w:val="000000" w:themeColor="text1"/>
          <w:kern w:val="0"/>
          <w:sz w:val="24"/>
          <w14:textFill>
            <w14:solidFill>
              <w14:schemeClr w14:val="tx1"/>
            </w14:solidFill>
          </w14:textFill>
        </w:rPr>
        <w:t>在余姚市公共资源交易中心（</w:t>
      </w:r>
      <w:r>
        <w:rPr>
          <w:rFonts w:ascii="宋体" w:hAnsi="宋体" w:cs="Arial"/>
          <w:color w:val="000000" w:themeColor="text1"/>
          <w:kern w:val="0"/>
          <w:sz w:val="24"/>
          <w:u w:val="single"/>
          <w14:textFill>
            <w14:solidFill>
              <w14:schemeClr w14:val="tx1"/>
            </w14:solidFill>
          </w14:textFill>
        </w:rPr>
        <w:t xml:space="preserve">  </w:t>
      </w:r>
      <w:r>
        <w:rPr>
          <w:rFonts w:hint="eastAsia" w:ascii="宋体" w:hAnsi="宋体" w:cs="Arial"/>
          <w:color w:val="000000" w:themeColor="text1"/>
          <w:kern w:val="0"/>
          <w:sz w:val="24"/>
          <w:u w:val="single"/>
          <w14:textFill>
            <w14:solidFill>
              <w14:schemeClr w14:val="tx1"/>
            </w14:solidFill>
          </w14:textFill>
        </w:rPr>
        <w:t xml:space="preserve">泗门 </w:t>
      </w:r>
      <w:r>
        <w:rPr>
          <w:rFonts w:hint="eastAsia" w:ascii="宋体" w:hAnsi="宋体" w:cs="Arial"/>
          <w:color w:val="000000" w:themeColor="text1"/>
          <w:kern w:val="0"/>
          <w:sz w:val="24"/>
          <w14:textFill>
            <w14:solidFill>
              <w14:schemeClr w14:val="tx1"/>
            </w14:solidFill>
          </w14:textFill>
        </w:rPr>
        <w:t>分中心）一楼开标室对</w:t>
      </w:r>
      <w:r>
        <w:rPr>
          <w:rFonts w:hint="eastAsia" w:ascii="宋体" w:hAnsi="宋体" w:cs="Arial"/>
          <w:kern w:val="0"/>
          <w:sz w:val="24"/>
          <w:szCs w:val="24"/>
          <w:u w:val="single"/>
          <w:lang w:val="en-US" w:eastAsia="zh-CN"/>
        </w:rPr>
        <w:t>后塘河社区</w:t>
      </w:r>
      <w:r>
        <w:rPr>
          <w:rFonts w:hint="eastAsia" w:ascii="宋体" w:hAnsi="宋体"/>
          <w:sz w:val="24"/>
          <w:szCs w:val="24"/>
          <w:u w:val="single"/>
          <w:lang w:eastAsia="zh-CN"/>
        </w:rPr>
        <w:t>古塘公寓商铺</w:t>
      </w:r>
      <w:r>
        <w:rPr>
          <w:rFonts w:hint="eastAsia" w:ascii="宋体" w:hAnsi="宋体"/>
          <w:sz w:val="24"/>
          <w:szCs w:val="24"/>
          <w:u w:val="single"/>
          <w:lang w:val="en-US" w:eastAsia="zh-CN"/>
        </w:rPr>
        <w:t>四海大道19</w:t>
      </w:r>
      <w:bookmarkStart w:id="0" w:name="_GoBack"/>
      <w:bookmarkEnd w:id="0"/>
      <w:r>
        <w:rPr>
          <w:rFonts w:hint="eastAsia" w:ascii="宋体" w:hAnsi="宋体"/>
          <w:sz w:val="24"/>
          <w:szCs w:val="24"/>
          <w:u w:val="single"/>
          <w:lang w:val="en-US" w:eastAsia="zh-CN"/>
        </w:rPr>
        <w:t>号</w:t>
      </w:r>
      <w:r>
        <w:rPr>
          <w:rFonts w:hint="eastAsia" w:ascii="宋体" w:hAnsi="宋体" w:cs="Arial"/>
          <w:kern w:val="0"/>
          <w:sz w:val="24"/>
          <w:szCs w:val="24"/>
          <w:u w:val="single"/>
          <w:lang w:val="en-US" w:eastAsia="zh-CN"/>
        </w:rPr>
        <w:t>租赁权</w:t>
      </w:r>
      <w:r>
        <w:rPr>
          <w:rFonts w:hint="eastAsia" w:ascii="宋体" w:hAnsi="宋体" w:cs="Arial"/>
          <w:color w:val="000000" w:themeColor="text1"/>
          <w:kern w:val="0"/>
          <w:sz w:val="24"/>
          <w:u w:val="single"/>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采用</w:t>
      </w:r>
      <w:r>
        <w:rPr>
          <w:rFonts w:hint="eastAsia" w:ascii="宋体" w:hAnsi="宋体" w:cs="Arial"/>
          <w:color w:val="000000" w:themeColor="text1"/>
          <w:kern w:val="0"/>
          <w:sz w:val="24"/>
          <w:u w:val="single"/>
          <w14:textFill>
            <w14:solidFill>
              <w14:schemeClr w14:val="tx1"/>
            </w14:solidFill>
          </w14:textFill>
        </w:rPr>
        <w:t>书面竞价</w:t>
      </w:r>
      <w:r>
        <w:rPr>
          <w:rFonts w:hint="eastAsia" w:ascii="宋体" w:hAnsi="宋体" w:cs="Arial"/>
          <w:color w:val="000000" w:themeColor="text1"/>
          <w:kern w:val="0"/>
          <w:sz w:val="24"/>
          <w14:textFill>
            <w14:solidFill>
              <w14:schemeClr w14:val="tx1"/>
            </w14:solidFill>
          </w14:textFill>
        </w:rPr>
        <w:t>方式进行公开交易。现就相关事项告知如下：</w:t>
      </w:r>
    </w:p>
    <w:p>
      <w:pPr>
        <w:widowControl/>
        <w:shd w:val="clear" w:color="auto" w:fill="FFFFFF"/>
        <w:spacing w:line="480" w:lineRule="exact"/>
        <w:ind w:firstLine="482" w:firstLineChars="200"/>
        <w:jc w:val="left"/>
        <w:rPr>
          <w:rFonts w:ascii="宋体" w:hAnsi="宋体" w:cs="Arial"/>
          <w:kern w:val="0"/>
          <w:sz w:val="24"/>
        </w:rPr>
      </w:pPr>
      <w:r>
        <w:rPr>
          <w:rFonts w:hint="eastAsia" w:ascii="宋体" w:hAnsi="宋体" w:cs="Tahoma"/>
          <w:b/>
          <w:kern w:val="0"/>
          <w:sz w:val="24"/>
        </w:rPr>
        <w:t>一、项目编号</w:t>
      </w:r>
      <w:r>
        <w:rPr>
          <w:rFonts w:hint="eastAsia" w:ascii="宋体" w:hAnsi="宋体" w:cs="Tahoma"/>
          <w:kern w:val="0"/>
          <w:sz w:val="24"/>
        </w:rPr>
        <w:t>：SN（J）2022-018</w:t>
      </w:r>
    </w:p>
    <w:p>
      <w:pPr>
        <w:widowControl/>
        <w:shd w:val="clear" w:color="auto" w:fill="FFFFFF"/>
        <w:spacing w:line="480" w:lineRule="exact"/>
        <w:ind w:firstLine="465"/>
        <w:jc w:val="left"/>
        <w:rPr>
          <w:rFonts w:hint="default" w:ascii="宋体" w:hAnsi="宋体" w:cs="Arial"/>
          <w:kern w:val="0"/>
          <w:sz w:val="24"/>
          <w:lang w:val="en-US"/>
        </w:rPr>
      </w:pPr>
      <w:r>
        <w:rPr>
          <w:rFonts w:hint="eastAsia" w:ascii="宋体" w:hAnsi="宋体" w:cs="Tahoma"/>
          <w:b/>
          <w:kern w:val="0"/>
          <w:sz w:val="24"/>
        </w:rPr>
        <w:t>二、项目名称</w:t>
      </w:r>
      <w:r>
        <w:rPr>
          <w:rFonts w:hint="eastAsia" w:ascii="宋体" w:hAnsi="宋体" w:cs="Tahoma"/>
          <w:kern w:val="0"/>
          <w:sz w:val="24"/>
        </w:rPr>
        <w:t>：</w:t>
      </w:r>
      <w:r>
        <w:rPr>
          <w:rFonts w:hint="eastAsia" w:ascii="宋体" w:hAnsi="宋体"/>
          <w:sz w:val="24"/>
          <w:szCs w:val="24"/>
          <w:u w:val="none"/>
          <w:lang w:eastAsia="zh-CN"/>
        </w:rPr>
        <w:t>古塘公寓商铺四海大道1</w:t>
      </w:r>
      <w:r>
        <w:rPr>
          <w:rFonts w:hint="eastAsia" w:ascii="宋体" w:hAnsi="宋体"/>
          <w:sz w:val="24"/>
          <w:szCs w:val="24"/>
          <w:u w:val="none"/>
          <w:lang w:val="en-US" w:eastAsia="zh-CN"/>
        </w:rPr>
        <w:t>9</w:t>
      </w:r>
      <w:r>
        <w:rPr>
          <w:rFonts w:hint="eastAsia" w:ascii="宋体" w:hAnsi="宋体"/>
          <w:sz w:val="24"/>
          <w:szCs w:val="24"/>
          <w:u w:val="none"/>
          <w:lang w:eastAsia="zh-CN"/>
        </w:rPr>
        <w:t>号</w:t>
      </w:r>
      <w:r>
        <w:rPr>
          <w:rFonts w:hint="eastAsia" w:ascii="宋体" w:hAnsi="宋体"/>
          <w:sz w:val="24"/>
          <w:szCs w:val="24"/>
          <w:u w:val="none"/>
          <w:lang w:val="en-US" w:eastAsia="zh-CN"/>
        </w:rPr>
        <w:t>租赁权竞价</w:t>
      </w:r>
    </w:p>
    <w:p>
      <w:pPr>
        <w:widowControl/>
        <w:shd w:val="clear" w:color="auto" w:fill="FFFFFF"/>
        <w:spacing w:line="480" w:lineRule="exact"/>
        <w:ind w:firstLine="465"/>
        <w:jc w:val="left"/>
        <w:rPr>
          <w:rFonts w:ascii="宋体" w:hAnsi="宋体" w:cs="Arial"/>
          <w:kern w:val="0"/>
          <w:sz w:val="24"/>
        </w:rPr>
      </w:pPr>
      <w:r>
        <w:rPr>
          <w:rFonts w:hint="eastAsia" w:ascii="宋体" w:hAnsi="宋体" w:cs="Tahoma"/>
          <w:b/>
          <w:kern w:val="0"/>
          <w:sz w:val="24"/>
        </w:rPr>
        <w:t>三、标的概况</w:t>
      </w:r>
      <w:r>
        <w:rPr>
          <w:rFonts w:hint="eastAsia" w:ascii="宋体" w:hAnsi="宋体" w:cs="Tahoma"/>
          <w:kern w:val="0"/>
          <w:sz w:val="24"/>
        </w:rPr>
        <w:t>：</w:t>
      </w:r>
    </w:p>
    <w:p>
      <w:pPr>
        <w:spacing w:line="440" w:lineRule="exact"/>
        <w:ind w:firstLine="470" w:firstLineChars="196"/>
        <w:rPr>
          <w:rFonts w:hint="eastAsia" w:ascii="宋体" w:hAnsi="宋体"/>
          <w:sz w:val="24"/>
          <w:szCs w:val="24"/>
          <w:u w:val="none"/>
          <w:lang w:eastAsia="zh-CN"/>
        </w:rPr>
      </w:pPr>
      <w:r>
        <w:rPr>
          <w:rFonts w:hint="eastAsia" w:ascii="宋体" w:hAnsi="宋体"/>
          <w:sz w:val="24"/>
          <w:szCs w:val="24"/>
          <w:u w:val="none"/>
        </w:rPr>
        <w:t>资产名称</w:t>
      </w:r>
      <w:r>
        <w:rPr>
          <w:rFonts w:hint="eastAsia" w:ascii="宋体" w:hAnsi="宋体"/>
          <w:sz w:val="24"/>
          <w:szCs w:val="24"/>
          <w:u w:val="none"/>
          <w:lang w:eastAsia="zh-CN"/>
        </w:rPr>
        <w:t>：古塘公寓商铺四海大道19号，无权证，资产性质属社区集体所有，面积110.56平方米，出租期限：5年， 资产出租底价：26534元/年，租期内租金每年上浮2%，</w:t>
      </w:r>
      <w:r>
        <w:rPr>
          <w:rFonts w:hint="eastAsia" w:ascii="宋体" w:hAnsi="宋体"/>
          <w:sz w:val="24"/>
          <w:szCs w:val="24"/>
          <w:u w:val="none"/>
          <w:lang w:val="en-US" w:eastAsia="zh-CN"/>
        </w:rPr>
        <w:t>5年租金合计：138086元，</w:t>
      </w:r>
      <w:r>
        <w:rPr>
          <w:rFonts w:hint="eastAsia" w:ascii="宋体" w:hAnsi="宋体"/>
          <w:sz w:val="24"/>
          <w:szCs w:val="24"/>
          <w:u w:val="none"/>
          <w:lang w:eastAsia="zh-CN"/>
        </w:rPr>
        <w:t>竞价保证金：5000元。</w:t>
      </w:r>
    </w:p>
    <w:p>
      <w:pPr>
        <w:spacing w:line="440" w:lineRule="exact"/>
        <w:ind w:firstLine="472" w:firstLineChars="196"/>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特别提示（风险）</w:t>
      </w:r>
      <w:r>
        <w:rPr>
          <w:rFonts w:hint="eastAsia" w:ascii="宋体" w:hAnsi="宋体" w:cs="Tahoma"/>
          <w:color w:val="000000" w:themeColor="text1"/>
          <w:kern w:val="0"/>
          <w:sz w:val="24"/>
          <w14:textFill>
            <w14:solidFill>
              <w14:schemeClr w14:val="tx1"/>
            </w14:solidFill>
          </w14:textFill>
        </w:rPr>
        <w:t>：标的物以实物现状为准，</w:t>
      </w:r>
      <w:r>
        <w:rPr>
          <w:rFonts w:hint="eastAsia" w:ascii="宋体" w:hAnsi="宋体" w:cs="Arial"/>
          <w:color w:val="000000" w:themeColor="text1"/>
          <w:kern w:val="0"/>
          <w:sz w:val="24"/>
          <w14:textFill>
            <w14:solidFill>
              <w14:schemeClr w14:val="tx1"/>
            </w14:solidFill>
          </w14:textFill>
        </w:rPr>
        <w:t>转让人</w:t>
      </w:r>
      <w:r>
        <w:rPr>
          <w:rFonts w:hint="eastAsia" w:ascii="宋体" w:hAnsi="宋体" w:cs="Tahoma"/>
          <w:color w:val="000000" w:themeColor="text1"/>
          <w:kern w:val="0"/>
          <w:sz w:val="24"/>
          <w14:textFill>
            <w14:solidFill>
              <w14:schemeClr w14:val="tx1"/>
            </w14:solidFill>
          </w14:textFill>
        </w:rPr>
        <w:t>不保证竞价标的无瑕疵。竞租人务必在竞价开始前亲临现场看样，未看样参与竞价的，视为对竞价标的现状的确认，即视为对竞价标的已完全了解，并接受竞价标的已知和未知瑕疵，承担参与竞价所产生的一切法律后果。</w:t>
      </w:r>
    </w:p>
    <w:p>
      <w:pPr>
        <w:spacing w:line="440" w:lineRule="exact"/>
        <w:ind w:firstLine="472" w:firstLineChars="196"/>
        <w:rPr>
          <w:rFonts w:ascii="宋体" w:hAnsi="宋体" w:cs="Tahoma"/>
          <w:b/>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四、竞租人资格条件</w:t>
      </w:r>
    </w:p>
    <w:p>
      <w:pPr>
        <w:widowControl/>
        <w:shd w:val="clear" w:color="auto" w:fill="FFFFFF"/>
        <w:spacing w:line="360" w:lineRule="auto"/>
        <w:ind w:firstLine="480" w:firstLineChars="200"/>
        <w:rPr>
          <w:rFonts w:ascii="微软雅黑" w:hAnsi="微软雅黑" w:cs="宋体"/>
          <w:color w:val="000000" w:themeColor="text1"/>
          <w:kern w:val="0"/>
          <w:sz w:val="24"/>
          <w14:textFill>
            <w14:solidFill>
              <w14:schemeClr w14:val="tx1"/>
            </w14:solidFill>
          </w14:textFill>
        </w:rPr>
      </w:pPr>
      <w:r>
        <w:rPr>
          <w:rFonts w:hint="eastAsia" w:ascii="宋体" w:hAnsi="宋体" w:cs="Tahoma"/>
          <w:color w:val="000000" w:themeColor="text1"/>
          <w:kern w:val="0"/>
          <w:sz w:val="24"/>
          <w14:textFill>
            <w14:solidFill>
              <w14:schemeClr w14:val="tx1"/>
            </w14:solidFill>
          </w14:textFill>
        </w:rPr>
        <w:t>应当具备完全民事行为能力的</w:t>
      </w:r>
      <w:r>
        <w:rPr>
          <w:rFonts w:hint="eastAsia" w:ascii="宋体" w:hAnsi="宋体" w:cs="Arial"/>
          <w:color w:val="000000" w:themeColor="text1"/>
          <w:kern w:val="0"/>
          <w:sz w:val="24"/>
          <w14:textFill>
            <w14:solidFill>
              <w14:schemeClr w14:val="tx1"/>
            </w14:solidFill>
          </w14:textFill>
        </w:rPr>
        <w:t>自然人、法人和其他组织。</w:t>
      </w:r>
      <w:r>
        <w:rPr>
          <w:rFonts w:hint="eastAsia" w:cs="宋体"/>
          <w:color w:val="000000" w:themeColor="text1"/>
          <w:kern w:val="0"/>
          <w:sz w:val="24"/>
          <w14:textFill>
            <w14:solidFill>
              <w14:schemeClr w14:val="tx1"/>
            </w14:solidFill>
          </w14:textFill>
        </w:rPr>
        <w:t>公开交易日，</w:t>
      </w:r>
      <w:r>
        <w:rPr>
          <w:rFonts w:ascii="宋体" w:hAnsi="宋体" w:cs="宋体"/>
          <w:color w:val="000000" w:themeColor="text1"/>
          <w:sz w:val="24"/>
          <w14:textFill>
            <w14:solidFill>
              <w14:schemeClr w14:val="tx1"/>
            </w14:solidFill>
          </w14:textFill>
        </w:rPr>
        <w:t>竞价人的法定代表人（或经营者或本人）携带身份证原件准时出席，逾期视为自动放弃。法定代表人（或经营者或本人）不能到场的，视为自动放弃。</w:t>
      </w:r>
      <w:r>
        <w:rPr>
          <w:rFonts w:hint="eastAsia" w:cs="宋体"/>
          <w:color w:val="000000" w:themeColor="text1"/>
          <w:kern w:val="0"/>
          <w:sz w:val="24"/>
          <w14:textFill>
            <w14:solidFill>
              <w14:schemeClr w14:val="tx1"/>
            </w14:solidFill>
          </w14:textFill>
        </w:rPr>
        <w:t>在竞价活动任何阶段，余姚市泗门镇后塘河社区股份经济合作社有权拒绝不符合本次竞价资格条件的竞价人参加本次竞价活动或解除其竞价成交的法律关系，并追究其相应的法律责任。</w:t>
      </w:r>
    </w:p>
    <w:p>
      <w:pPr>
        <w:ind w:firstLine="482" w:firstLineChars="200"/>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五、公告期限</w:t>
      </w:r>
      <w:r>
        <w:rPr>
          <w:rFonts w:hint="eastAsia" w:ascii="宋体" w:hAnsi="宋体" w:cs="Tahoma"/>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自2022</w:t>
      </w:r>
      <w:r>
        <w:rPr>
          <w:rFonts w:hint="eastAsia" w:ascii="宋体" w:hAnsi="宋体" w:cs="Tahoma"/>
          <w:color w:val="000000" w:themeColor="text1"/>
          <w:kern w:val="0"/>
          <w:sz w:val="24"/>
          <w14:textFill>
            <w14:solidFill>
              <w14:schemeClr w14:val="tx1"/>
            </w14:solidFill>
          </w14:textFill>
        </w:rPr>
        <w:t>年1月</w:t>
      </w:r>
      <w:r>
        <w:rPr>
          <w:rFonts w:hint="eastAsia" w:ascii="宋体" w:hAnsi="宋体" w:cs="Tahoma"/>
          <w:color w:val="000000" w:themeColor="text1"/>
          <w:kern w:val="0"/>
          <w:sz w:val="24"/>
          <w:lang w:val="en-US" w:eastAsia="zh-CN"/>
          <w14:textFill>
            <w14:solidFill>
              <w14:schemeClr w14:val="tx1"/>
            </w14:solidFill>
          </w14:textFill>
        </w:rPr>
        <w:t>7</w:t>
      </w:r>
      <w:r>
        <w:rPr>
          <w:rFonts w:hint="eastAsia" w:ascii="宋体" w:hAnsi="宋体" w:cs="Tahoma"/>
          <w:color w:val="000000" w:themeColor="text1"/>
          <w:kern w:val="0"/>
          <w:sz w:val="24"/>
          <w14:textFill>
            <w14:solidFill>
              <w14:schemeClr w14:val="tx1"/>
            </w14:solidFill>
          </w14:textFill>
        </w:rPr>
        <w:t>日至 2022  年 1月 18日止</w:t>
      </w:r>
    </w:p>
    <w:p>
      <w:pPr>
        <w:widowControl/>
        <w:shd w:val="clear" w:color="auto" w:fill="FFFFFF"/>
        <w:spacing w:line="440" w:lineRule="exact"/>
        <w:ind w:firstLine="465"/>
        <w:jc w:val="left"/>
        <w:rPr>
          <w:rFonts w:ascii="宋体" w:hAnsi="宋体" w:cs="Arial"/>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六、咨询、看样时间与方式</w:t>
      </w:r>
      <w:r>
        <w:rPr>
          <w:rFonts w:hint="eastAsia" w:ascii="宋体" w:hAnsi="宋体" w:cs="Tahoma"/>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从公告发布之日起接受咨询、看样。咨询电话：</w:t>
      </w:r>
      <w:r>
        <w:rPr>
          <w:rFonts w:hint="eastAsia" w:ascii="宋体" w:hAnsi="宋体" w:cs="Arial"/>
          <w:color w:val="000000" w:themeColor="text1"/>
          <w:kern w:val="0"/>
          <w:sz w:val="24"/>
          <w:u w:val="single"/>
          <w14:textFill>
            <w14:solidFill>
              <w14:schemeClr w14:val="tx1"/>
            </w14:solidFill>
          </w14:textFill>
        </w:rPr>
        <w:t xml:space="preserve"> 18094540519 </w:t>
      </w:r>
      <w:r>
        <w:rPr>
          <w:rFonts w:hint="eastAsia" w:ascii="宋体" w:hAnsi="宋体" w:cs="Arial"/>
          <w:color w:val="000000" w:themeColor="text1"/>
          <w:kern w:val="0"/>
          <w:sz w:val="24"/>
          <w14:textFill>
            <w14:solidFill>
              <w14:schemeClr w14:val="tx1"/>
            </w14:solidFill>
          </w14:textFill>
        </w:rPr>
        <w:t>；集中看样时间：</w:t>
      </w:r>
      <w:r>
        <w:rPr>
          <w:rFonts w:hint="eastAsia" w:ascii="宋体" w:hAnsi="宋体" w:cs="Tahoma"/>
          <w:color w:val="000000" w:themeColor="text1"/>
          <w:kern w:val="0"/>
          <w:sz w:val="24"/>
          <w14:textFill>
            <w14:solidFill>
              <w14:schemeClr w14:val="tx1"/>
            </w14:solidFill>
          </w14:textFill>
        </w:rPr>
        <w:t>2022</w:t>
      </w:r>
      <w:r>
        <w:rPr>
          <w:rFonts w:ascii="宋体" w:hAnsi="宋体" w:cs="Tahoma"/>
          <w:color w:val="000000" w:themeColor="text1"/>
          <w:kern w:val="0"/>
          <w:sz w:val="24"/>
          <w14:textFill>
            <w14:solidFill>
              <w14:schemeClr w14:val="tx1"/>
            </w14:solidFill>
          </w14:textFill>
        </w:rPr>
        <w:t xml:space="preserve"> </w:t>
      </w:r>
      <w:r>
        <w:rPr>
          <w:rFonts w:hint="eastAsia" w:ascii="宋体" w:hAnsi="宋体" w:cs="Tahoma"/>
          <w:color w:val="000000" w:themeColor="text1"/>
          <w:kern w:val="0"/>
          <w:sz w:val="24"/>
          <w14:textFill>
            <w14:solidFill>
              <w14:schemeClr w14:val="tx1"/>
            </w14:solidFill>
          </w14:textFill>
        </w:rPr>
        <w:t xml:space="preserve">年 1 月 </w:t>
      </w:r>
      <w:r>
        <w:rPr>
          <w:rFonts w:hint="eastAsia" w:ascii="宋体" w:hAnsi="宋体" w:cs="Tahoma"/>
          <w:color w:val="000000" w:themeColor="text1"/>
          <w:kern w:val="0"/>
          <w:sz w:val="24"/>
          <w:lang w:val="en-US" w:eastAsia="zh-CN"/>
          <w14:textFill>
            <w14:solidFill>
              <w14:schemeClr w14:val="tx1"/>
            </w14:solidFill>
          </w14:textFill>
        </w:rPr>
        <w:t>13</w:t>
      </w:r>
      <w:r>
        <w:rPr>
          <w:rFonts w:hint="eastAsia" w:ascii="宋体" w:hAnsi="宋体" w:cs="Tahoma"/>
          <w:color w:val="000000" w:themeColor="text1"/>
          <w:kern w:val="0"/>
          <w:sz w:val="24"/>
          <w14:textFill>
            <w14:solidFill>
              <w14:schemeClr w14:val="tx1"/>
            </w14:solidFill>
          </w14:textFill>
        </w:rPr>
        <w:t>日</w:t>
      </w:r>
      <w:r>
        <w:rPr>
          <w:rFonts w:hint="eastAsia" w:ascii="宋体" w:hAnsi="宋体" w:cs="Arial"/>
          <w:color w:val="000000" w:themeColor="text1"/>
          <w:kern w:val="0"/>
          <w:sz w:val="24"/>
          <w14:textFill>
            <w14:solidFill>
              <w14:schemeClr w14:val="tx1"/>
            </w14:solidFill>
          </w14:textFill>
        </w:rPr>
        <w:t>（上午  8：00—11：00 ，下午 1:00 —4:00  ）；地点：</w:t>
      </w:r>
      <w:r>
        <w:rPr>
          <w:rFonts w:hint="eastAsia" w:ascii="宋体" w:hAnsi="宋体" w:cs="Arial"/>
          <w:color w:val="000000" w:themeColor="text1"/>
          <w:kern w:val="0"/>
          <w:sz w:val="24"/>
          <w:u w:val="single"/>
          <w14:textFill>
            <w14:solidFill>
              <w14:schemeClr w14:val="tx1"/>
            </w14:solidFill>
          </w14:textFill>
        </w:rPr>
        <w:t xml:space="preserve"> 标的所在地 </w:t>
      </w:r>
      <w:r>
        <w:rPr>
          <w:rFonts w:hint="eastAsia" w:ascii="宋体" w:hAnsi="宋体" w:cs="Arial"/>
          <w:color w:val="000000" w:themeColor="text1"/>
          <w:kern w:val="0"/>
          <w:sz w:val="24"/>
          <w14:textFill>
            <w14:solidFill>
              <w14:schemeClr w14:val="tx1"/>
            </w14:solidFill>
          </w14:textFill>
        </w:rPr>
        <w:t>。</w:t>
      </w:r>
    </w:p>
    <w:p>
      <w:pPr>
        <w:ind w:firstLine="482" w:firstLineChars="200"/>
        <w:rPr>
          <w:rFonts w:ascii="宋体" w:hAnsi="宋体" w:cs="Arial"/>
          <w:b/>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七、竞租登记时间、地点</w:t>
      </w:r>
      <w:r>
        <w:rPr>
          <w:rFonts w:hint="eastAsia" w:ascii="宋体" w:hAnsi="宋体" w:cs="Arial"/>
          <w:bCs/>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竞租人须于2022</w:t>
      </w:r>
      <w:r>
        <w:rPr>
          <w:rFonts w:hint="eastAsia" w:ascii="宋体" w:hAnsi="宋体" w:cs="Tahoma"/>
          <w:color w:val="000000" w:themeColor="text1"/>
          <w:kern w:val="0"/>
          <w:sz w:val="24"/>
          <w14:textFill>
            <w14:solidFill>
              <w14:schemeClr w14:val="tx1"/>
            </w14:solidFill>
          </w14:textFill>
        </w:rPr>
        <w:t>年1月17日</w:t>
      </w:r>
      <w:r>
        <w:rPr>
          <w:rFonts w:hint="eastAsia" w:ascii="宋体" w:hAnsi="宋体" w:cs="Arial"/>
          <w:color w:val="000000" w:themeColor="text1"/>
          <w:kern w:val="0"/>
          <w:sz w:val="24"/>
          <w14:textFill>
            <w14:solidFill>
              <w14:schemeClr w14:val="tx1"/>
            </w14:solidFill>
          </w14:textFill>
        </w:rPr>
        <w:t>（上午  8：00—11：00 ，下午 13:00 —16:00）到后塘河社区一楼5号窗口办理竞租登记手续，逾期不予受理。</w:t>
      </w:r>
      <w:r>
        <w:rPr>
          <w:rFonts w:hint="eastAsia" w:ascii="宋体" w:hAnsi="宋体" w:cs="Arial"/>
          <w:b/>
          <w:color w:val="000000" w:themeColor="text1"/>
          <w:kern w:val="0"/>
          <w:sz w:val="24"/>
          <w14:textFill>
            <w14:solidFill>
              <w14:schemeClr w14:val="tx1"/>
            </w14:solidFill>
          </w14:textFill>
        </w:rPr>
        <w:t>未经登记不得参加本次竞价活动。</w:t>
      </w:r>
    </w:p>
    <w:p>
      <w:pPr>
        <w:widowControl/>
        <w:shd w:val="clear" w:color="auto" w:fill="FFFFFF"/>
        <w:spacing w:line="440" w:lineRule="exact"/>
        <w:ind w:firstLine="482" w:firstLineChars="200"/>
        <w:jc w:val="left"/>
        <w:rPr>
          <w:rFonts w:ascii="宋体" w:hAnsi="宋体" w:cs="Arial"/>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八、竞租人登记时须提交的资料</w:t>
      </w:r>
      <w:r>
        <w:rPr>
          <w:rFonts w:hint="eastAsia" w:ascii="宋体" w:hAnsi="宋体" w:cs="Arial"/>
          <w:bCs/>
          <w:color w:val="000000" w:themeColor="text1"/>
          <w:kern w:val="0"/>
          <w:sz w:val="24"/>
          <w14:textFill>
            <w14:solidFill>
              <w14:schemeClr w14:val="tx1"/>
            </w14:solidFill>
          </w14:textFill>
        </w:rPr>
        <w:t>：</w:t>
      </w:r>
    </w:p>
    <w:p>
      <w:pPr>
        <w:widowControl/>
        <w:shd w:val="clear" w:color="auto" w:fill="FFFFFF"/>
        <w:spacing w:line="440" w:lineRule="exact"/>
        <w:ind w:firstLine="480" w:firstLineChars="200"/>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一）法人或其他组织须提供：1.营业执照副本；2.法定代表人或负责人身份证明；3.竞租人委派办理报名手续人员的授权委托书和身份证明；4.竞价保证金缴款单；5.竞租人对其所提交资料的真实性、准确性、完整性的承诺书。承诺书应当由法定代表人或负责人签字，并加盖公章。以上资料均须提供原件及加盖法人或其他组织公章的复印件。</w:t>
      </w:r>
    </w:p>
    <w:p>
      <w:pPr>
        <w:widowControl/>
        <w:shd w:val="clear" w:color="auto" w:fill="FFFFFF"/>
        <w:spacing w:line="440" w:lineRule="exact"/>
        <w:ind w:firstLine="465"/>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（二）自然人须提供：身份证原件及复印件、竞价保证金缴款单。</w:t>
      </w:r>
    </w:p>
    <w:p>
      <w:pPr>
        <w:widowControl/>
        <w:shd w:val="clear" w:color="auto" w:fill="FFFFFF"/>
        <w:spacing w:line="440" w:lineRule="exact"/>
        <w:ind w:firstLine="465"/>
        <w:jc w:val="left"/>
        <w:rPr>
          <w:rFonts w:ascii="宋体" w:hAnsi="宋体" w:cs="Arial"/>
          <w:b/>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九、竞价保证金缴纳办法</w:t>
      </w:r>
    </w:p>
    <w:p>
      <w:pPr>
        <w:widowControl/>
        <w:shd w:val="clear" w:color="auto" w:fill="FFFFFF"/>
        <w:spacing w:line="440" w:lineRule="exact"/>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 xml:space="preserve">    （一）竞价保证金收妥抵用（即到帐）截止时间:</w:t>
      </w:r>
      <w:r>
        <w:rPr>
          <w:rFonts w:hint="eastAsia" w:ascii="宋体" w:hAnsi="宋体" w:cs="Tahoma"/>
          <w:color w:val="000000" w:themeColor="text1"/>
          <w:kern w:val="0"/>
          <w:sz w:val="24"/>
          <w14:textFill>
            <w14:solidFill>
              <w14:schemeClr w14:val="tx1"/>
            </w14:solidFill>
          </w14:textFill>
        </w:rPr>
        <w:t>2022年1月17日</w:t>
      </w:r>
      <w:r>
        <w:rPr>
          <w:rFonts w:hint="eastAsia" w:ascii="宋体" w:hAnsi="宋体" w:cs="Arial"/>
          <w:color w:val="000000" w:themeColor="text1"/>
          <w:kern w:val="0"/>
          <w:sz w:val="24"/>
          <w14:textFill>
            <w14:solidFill>
              <w14:schemeClr w14:val="tx1"/>
            </w14:solidFill>
          </w14:textFill>
        </w:rPr>
        <w:t>下午4时。</w:t>
      </w:r>
    </w:p>
    <w:p>
      <w:pPr>
        <w:widowControl/>
        <w:shd w:val="clear" w:color="auto" w:fill="FFFFFF"/>
        <w:spacing w:line="440" w:lineRule="exact"/>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 xml:space="preserve">    （二）竞价保证金由竞租人以转账（必须实时清算）、银行汇票、电汇等形式缴入指定帐户</w:t>
      </w:r>
      <w:r>
        <w:rPr>
          <w:rFonts w:hint="eastAsia" w:ascii="宋体" w:hAnsi="宋体" w:cs="Tahoma"/>
          <w:color w:val="000000" w:themeColor="text1"/>
          <w:kern w:val="0"/>
          <w:sz w:val="24"/>
          <w14:textFill>
            <w14:solidFill>
              <w14:schemeClr w14:val="tx1"/>
            </w14:solidFill>
          </w14:textFill>
        </w:rPr>
        <w:t>（户名：</w:t>
      </w:r>
      <w:r>
        <w:rPr>
          <w:rFonts w:hint="eastAsia" w:ascii="宋体" w:hAnsi="宋体" w:cs="Tahoma"/>
          <w:color w:val="000000" w:themeColor="text1"/>
          <w:kern w:val="0"/>
          <w:sz w:val="24"/>
          <w:u w:val="single"/>
          <w14:textFill>
            <w14:solidFill>
              <w14:schemeClr w14:val="tx1"/>
            </w14:solidFill>
          </w14:textFill>
        </w:rPr>
        <w:t xml:space="preserve"> 余姚市泗门镇后塘河社区股份经济合作社  </w:t>
      </w:r>
      <w:r>
        <w:rPr>
          <w:rFonts w:hint="eastAsia" w:ascii="宋体" w:hAnsi="宋体" w:cs="Tahoma"/>
          <w:color w:val="000000" w:themeColor="text1"/>
          <w:kern w:val="0"/>
          <w:sz w:val="24"/>
          <w14:textFill>
            <w14:solidFill>
              <w14:schemeClr w14:val="tx1"/>
            </w14:solidFill>
          </w14:textFill>
        </w:rPr>
        <w:t>，开户银行：</w:t>
      </w:r>
      <w:r>
        <w:rPr>
          <w:rFonts w:hint="eastAsia" w:ascii="宋体" w:hAnsi="宋体" w:cs="Tahoma"/>
          <w:color w:val="000000" w:themeColor="text1"/>
          <w:kern w:val="0"/>
          <w:sz w:val="24"/>
          <w:u w:val="single"/>
          <w14:textFill>
            <w14:solidFill>
              <w14:schemeClr w14:val="tx1"/>
            </w14:solidFill>
          </w14:textFill>
        </w:rPr>
        <w:t xml:space="preserve"> 余姚农村商业银行泗门支行  </w:t>
      </w:r>
      <w:r>
        <w:rPr>
          <w:rFonts w:hint="eastAsia" w:ascii="宋体" w:hAnsi="宋体" w:cs="Tahoma"/>
          <w:color w:val="000000" w:themeColor="text1"/>
          <w:kern w:val="0"/>
          <w:sz w:val="24"/>
          <w14:textFill>
            <w14:solidFill>
              <w14:schemeClr w14:val="tx1"/>
            </w14:solidFill>
          </w14:textFill>
        </w:rPr>
        <w:t>，账号：</w:t>
      </w:r>
      <w:r>
        <w:rPr>
          <w:rFonts w:hint="eastAsia" w:ascii="宋体" w:hAnsi="宋体" w:cs="Tahoma"/>
          <w:color w:val="000000" w:themeColor="text1"/>
          <w:kern w:val="0"/>
          <w:sz w:val="24"/>
          <w:u w:val="single"/>
          <w14:textFill>
            <w14:solidFill>
              <w14:schemeClr w14:val="tx1"/>
            </w14:solidFill>
          </w14:textFill>
        </w:rPr>
        <w:t xml:space="preserve"> 94100101302028822  </w:t>
      </w:r>
      <w:r>
        <w:rPr>
          <w:rFonts w:ascii="宋体" w:hAnsi="宋体" w:cs="Tahoma"/>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w:t>
      </w:r>
    </w:p>
    <w:p>
      <w:pPr>
        <w:widowControl/>
        <w:shd w:val="clear" w:color="auto" w:fill="FFFFFF"/>
        <w:spacing w:line="440" w:lineRule="exact"/>
        <w:ind w:firstLine="465"/>
        <w:jc w:val="left"/>
        <w:rPr>
          <w:rFonts w:ascii="宋体" w:hAnsi="宋体" w:cs="Arial"/>
          <w:b/>
          <w:bCs/>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三）竞价保证金缴入后，竞租人应向银行索取凭据。竞租人在缴纳竞买保证金时，务必在缴款单的“摘要栏”中注明本次所缴保证金的标的名称及相关内容，以免造成不必要的麻烦，同时缴款人户名须与竞租人名称一致，否则，由此造成的后果自负。</w:t>
      </w:r>
    </w:p>
    <w:p>
      <w:pPr>
        <w:widowControl/>
        <w:shd w:val="clear" w:color="auto" w:fill="FFFFFF"/>
        <w:spacing w:line="440" w:lineRule="exact"/>
        <w:ind w:firstLine="465"/>
        <w:jc w:val="left"/>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十、竞价方式</w:t>
      </w:r>
      <w:r>
        <w:rPr>
          <w:rFonts w:hint="eastAsia" w:ascii="宋体" w:hAnsi="宋体" w:cs="Tahoma"/>
          <w:color w:val="000000" w:themeColor="text1"/>
          <w:kern w:val="0"/>
          <w:sz w:val="24"/>
          <w14:textFill>
            <w14:solidFill>
              <w14:schemeClr w14:val="tx1"/>
            </w14:solidFill>
          </w14:textFill>
        </w:rPr>
        <w:t>: 按方式</w:t>
      </w:r>
      <w:r>
        <w:rPr>
          <w:rFonts w:hint="eastAsia" w:ascii="宋体" w:hAnsi="宋体" w:cs="Tahoma"/>
          <w:color w:val="000000" w:themeColor="text1"/>
          <w:kern w:val="0"/>
          <w:sz w:val="24"/>
          <w:u w:val="single"/>
          <w14:textFill>
            <w14:solidFill>
              <w14:schemeClr w14:val="tx1"/>
            </w14:solidFill>
          </w14:textFill>
        </w:rPr>
        <w:t xml:space="preserve"> </w:t>
      </w:r>
      <w:r>
        <w:rPr>
          <w:rFonts w:ascii="宋体" w:hAnsi="宋体" w:cs="Tahoma"/>
          <w:color w:val="000000" w:themeColor="text1"/>
          <w:kern w:val="0"/>
          <w:sz w:val="24"/>
          <w:u w:val="single"/>
          <w14:textFill>
            <w14:solidFill>
              <w14:schemeClr w14:val="tx1"/>
            </w14:solidFill>
          </w14:textFill>
        </w:rPr>
        <w:t xml:space="preserve"> </w:t>
      </w:r>
      <w:r>
        <w:rPr>
          <w:rFonts w:hint="eastAsia" w:ascii="宋体" w:hAnsi="宋体" w:cs="Tahoma"/>
          <w:color w:val="000000" w:themeColor="text1"/>
          <w:kern w:val="0"/>
          <w:sz w:val="24"/>
          <w:u w:val="single"/>
          <w14:textFill>
            <w14:solidFill>
              <w14:schemeClr w14:val="tx1"/>
            </w14:solidFill>
          </w14:textFill>
        </w:rPr>
        <w:t>书面竞价</w:t>
      </w:r>
      <w:r>
        <w:rPr>
          <w:rFonts w:ascii="宋体" w:hAnsi="宋体" w:cs="Tahoma"/>
          <w:color w:val="000000" w:themeColor="text1"/>
          <w:kern w:val="0"/>
          <w:sz w:val="24"/>
          <w:u w:val="single"/>
          <w14:textFill>
            <w14:solidFill>
              <w14:schemeClr w14:val="tx1"/>
            </w14:solidFill>
          </w14:textFill>
        </w:rPr>
        <w:t xml:space="preserve">   </w:t>
      </w:r>
      <w:r>
        <w:rPr>
          <w:rFonts w:hint="eastAsia" w:ascii="宋体" w:hAnsi="宋体" w:cs="Tahoma"/>
          <w:color w:val="000000" w:themeColor="text1"/>
          <w:kern w:val="0"/>
          <w:sz w:val="24"/>
          <w14:textFill>
            <w14:solidFill>
              <w14:schemeClr w14:val="tx1"/>
            </w14:solidFill>
          </w14:textFill>
        </w:rPr>
        <w:t>执行</w:t>
      </w:r>
      <w:r>
        <w:rPr>
          <w:rFonts w:ascii="宋体" w:hAnsi="宋体" w:cs="Tahoma"/>
          <w:color w:val="000000" w:themeColor="text1"/>
          <w:kern w:val="0"/>
          <w:sz w:val="24"/>
          <w14:textFill>
            <w14:solidFill>
              <w14:schemeClr w14:val="tx1"/>
            </w14:solidFill>
          </w14:textFill>
        </w:rPr>
        <w:t>。</w:t>
      </w:r>
    </w:p>
    <w:p>
      <w:pPr>
        <w:widowControl/>
        <w:shd w:val="clear" w:color="auto" w:fill="FFFFFF"/>
        <w:spacing w:line="480" w:lineRule="exact"/>
        <w:ind w:firstLine="480" w:firstLineChars="200"/>
        <w:jc w:val="left"/>
        <w:rPr>
          <w:rFonts w:ascii="宋体" w:hAnsi="宋体" w:cs="Tahoma"/>
          <w:color w:val="000000" w:themeColor="text1"/>
          <w:kern w:val="0"/>
          <w:sz w:val="24"/>
          <w14:textFill>
            <w14:solidFill>
              <w14:schemeClr w14:val="tx1"/>
            </w14:solidFill>
          </w14:textFill>
        </w:rPr>
      </w:pPr>
      <w:r>
        <w:rPr>
          <w:rFonts w:ascii="宋体" w:hAnsi="宋体" w:cs="宋体"/>
          <w:color w:val="000000" w:themeColor="text1"/>
          <w:sz w:val="24"/>
          <w14:textFill>
            <w14:solidFill>
              <w14:schemeClr w14:val="tx1"/>
            </w14:solidFill>
          </w14:textFill>
        </w:rPr>
        <w:t>竞价人在指定交易场所，以密封的形式递交竞价文件，并当众拆封，以“价高者得”的原则开展交易，且成交价格不低于交易底价。最高出价相同时，相同者可再次竞价。本次竞价计价货币为人民币。竞价时的起始底价、成交价均不包含标的交易、交接时所产生的一切税、费及交易佣金。竞价成交后，竞得人须与余姚市泗门镇后塘河社区股份经济合作社签署《农村集体资产资源成交确认书》。上述文件不论竞得人是否签署，其全部条款即对竞得人产生约束力并生效。如事后反悔，竞价保证金将做违约金不予退还。</w:t>
      </w:r>
    </w:p>
    <w:p>
      <w:pPr>
        <w:widowControl/>
        <w:numPr>
          <w:ilvl w:val="0"/>
          <w:numId w:val="1"/>
        </w:numPr>
        <w:shd w:val="clear" w:color="auto" w:fill="FFFFFF"/>
        <w:spacing w:line="440" w:lineRule="exact"/>
        <w:ind w:firstLine="465"/>
        <w:jc w:val="left"/>
        <w:rPr>
          <w:rFonts w:ascii="宋体" w:hAnsi="宋体" w:cs="Tahoma"/>
          <w:bCs/>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成交确认及款项结算</w:t>
      </w:r>
      <w:r>
        <w:rPr>
          <w:rFonts w:hint="eastAsia" w:ascii="宋体" w:hAnsi="宋体" w:cs="Tahoma"/>
          <w:color w:val="000000" w:themeColor="text1"/>
          <w:kern w:val="0"/>
          <w:sz w:val="24"/>
          <w14:textFill>
            <w14:solidFill>
              <w14:schemeClr w14:val="tx1"/>
            </w14:solidFill>
          </w14:textFill>
        </w:rPr>
        <w:t xml:space="preserve">: </w:t>
      </w:r>
    </w:p>
    <w:p>
      <w:pPr>
        <w:widowControl/>
        <w:shd w:val="clear" w:color="auto" w:fill="FFFFFF"/>
        <w:spacing w:line="440" w:lineRule="exact"/>
        <w:ind w:firstLine="480" w:firstLineChars="200"/>
        <w:jc w:val="left"/>
        <w:rPr>
          <w:rFonts w:ascii="宋体" w:hAnsi="宋体" w:cs="宋体"/>
          <w:bCs/>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（一）竞价成交的，竞租人应在2022年1月24日下午4时前将第一年租金缴入指定账户（户名：</w:t>
      </w:r>
      <w:r>
        <w:rPr>
          <w:rFonts w:hint="eastAsia" w:ascii="宋体" w:hAnsi="宋体" w:cs="宋体"/>
          <w:color w:val="000000" w:themeColor="text1"/>
          <w:kern w:val="0"/>
          <w:sz w:val="24"/>
          <w:u w:val="single"/>
          <w14:textFill>
            <w14:solidFill>
              <w14:schemeClr w14:val="tx1"/>
            </w14:solidFill>
          </w14:textFill>
        </w:rPr>
        <w:t xml:space="preserve"> 余姚市泗门镇后塘河社区股份经济合作社  </w:t>
      </w:r>
      <w:r>
        <w:rPr>
          <w:rFonts w:hint="eastAsia" w:ascii="宋体" w:hAnsi="宋体" w:cs="宋体"/>
          <w:color w:val="000000" w:themeColor="text1"/>
          <w:kern w:val="0"/>
          <w:sz w:val="24"/>
          <w14:textFill>
            <w14:solidFill>
              <w14:schemeClr w14:val="tx1"/>
            </w14:solidFill>
          </w14:textFill>
        </w:rPr>
        <w:t>，开户银行：</w:t>
      </w:r>
      <w:r>
        <w:rPr>
          <w:rFonts w:hint="eastAsia" w:ascii="宋体" w:hAnsi="宋体" w:cs="宋体"/>
          <w:color w:val="000000" w:themeColor="text1"/>
          <w:kern w:val="0"/>
          <w:sz w:val="24"/>
          <w:u w:val="single"/>
          <w14:textFill>
            <w14:solidFill>
              <w14:schemeClr w14:val="tx1"/>
            </w14:solidFill>
          </w14:textFill>
        </w:rPr>
        <w:t xml:space="preserve"> 余姚农村商业银行泗门支行 </w:t>
      </w:r>
      <w:r>
        <w:rPr>
          <w:rFonts w:hint="eastAsia" w:ascii="宋体" w:hAnsi="宋体" w:cs="宋体"/>
          <w:color w:val="000000" w:themeColor="text1"/>
          <w:kern w:val="0"/>
          <w:sz w:val="24"/>
          <w14:textFill>
            <w14:solidFill>
              <w14:schemeClr w14:val="tx1"/>
            </w14:solidFill>
          </w14:textFill>
        </w:rPr>
        <w:t>，账号：</w:t>
      </w:r>
      <w:r>
        <w:rPr>
          <w:rFonts w:hint="eastAsia" w:ascii="宋体" w:hAnsi="宋体" w:cs="宋体"/>
          <w:color w:val="000000" w:themeColor="text1"/>
          <w:kern w:val="0"/>
          <w:sz w:val="24"/>
          <w:u w:val="single"/>
          <w14:textFill>
            <w14:solidFill>
              <w14:schemeClr w14:val="tx1"/>
            </w14:solidFill>
          </w14:textFill>
        </w:rPr>
        <w:t xml:space="preserve"> 94100101302028822 </w:t>
      </w:r>
      <w:r>
        <w:rPr>
          <w:rFonts w:hint="eastAsia" w:ascii="宋体" w:hAnsi="宋体" w:cs="宋体"/>
          <w:color w:val="000000" w:themeColor="text1"/>
          <w:kern w:val="0"/>
          <w:sz w:val="24"/>
          <w14:textFill>
            <w14:solidFill>
              <w14:schemeClr w14:val="tx1"/>
            </w14:solidFill>
          </w14:textFill>
        </w:rPr>
        <w:t>），摘要栏备注“竞价标的名称”</w:t>
      </w:r>
      <w:r>
        <w:rPr>
          <w:rFonts w:hint="eastAsia" w:ascii="宋体" w:hAnsi="宋体" w:cs="宋体"/>
          <w:bCs/>
          <w:color w:val="000000" w:themeColor="text1"/>
          <w:kern w:val="0"/>
          <w:sz w:val="24"/>
          <w14:textFill>
            <w14:solidFill>
              <w14:schemeClr w14:val="tx1"/>
            </w14:solidFill>
          </w14:textFill>
        </w:rPr>
        <w:t>。</w:t>
      </w:r>
    </w:p>
    <w:p>
      <w:pPr>
        <w:widowControl/>
        <w:shd w:val="clear" w:color="auto" w:fill="FFFFFF"/>
        <w:spacing w:line="360" w:lineRule="auto"/>
        <w:ind w:firstLine="320"/>
        <w:rPr>
          <w:rFonts w:ascii="宋体" w:hAnsi="宋体" w:cs="Tahoma"/>
          <w:bCs/>
          <w:color w:val="000000" w:themeColor="text1"/>
          <w:kern w:val="0"/>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 （二）</w:t>
      </w:r>
      <w:r>
        <w:rPr>
          <w:rFonts w:hint="eastAsia" w:ascii="宋体" w:hAnsi="宋体" w:cs="宋体"/>
          <w:color w:val="000000" w:themeColor="text1"/>
          <w:kern w:val="0"/>
          <w:sz w:val="24"/>
          <w14:textFill>
            <w14:solidFill>
              <w14:schemeClr w14:val="tx1"/>
            </w14:solidFill>
          </w14:textFill>
        </w:rPr>
        <w:t>中标竞租人的竞租保证金在签订合同后5个工作日内返还（并返还银行同期活期存款利息）；未中标竞租人的竞租保证金在交易结束后5个工作日内予以返还（并返还银行同期活期存款利息）。</w:t>
      </w:r>
    </w:p>
    <w:p>
      <w:pPr>
        <w:spacing w:line="440" w:lineRule="exact"/>
        <w:ind w:firstLine="472" w:firstLineChars="196"/>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十二、标的物交付</w:t>
      </w:r>
      <w:r>
        <w:rPr>
          <w:rFonts w:hint="eastAsia" w:ascii="宋体" w:hAnsi="宋体" w:cs="Tahoma"/>
          <w:color w:val="000000" w:themeColor="text1"/>
          <w:kern w:val="0"/>
          <w:sz w:val="24"/>
          <w14:textFill>
            <w14:solidFill>
              <w14:schemeClr w14:val="tx1"/>
            </w14:solidFill>
          </w14:textFill>
        </w:rPr>
        <w:t xml:space="preserve">：标的物交付时间为买受人付清第一年租金后 </w:t>
      </w:r>
      <w:r>
        <w:rPr>
          <w:rFonts w:hint="eastAsia" w:ascii="宋体" w:hAnsi="宋体" w:cs="Arial"/>
          <w:color w:val="000000" w:themeColor="text1"/>
          <w:kern w:val="0"/>
          <w:sz w:val="24"/>
          <w:u w:val="single"/>
          <w14:textFill>
            <w14:solidFill>
              <w14:schemeClr w14:val="tx1"/>
            </w14:solidFill>
          </w14:textFill>
        </w:rPr>
        <w:t xml:space="preserve">7 </w:t>
      </w:r>
      <w:r>
        <w:rPr>
          <w:rFonts w:hint="eastAsia" w:ascii="宋体" w:hAnsi="宋体" w:cs="Tahoma"/>
          <w:color w:val="000000" w:themeColor="text1"/>
          <w:kern w:val="0"/>
          <w:sz w:val="24"/>
          <w14:textFill>
            <w14:solidFill>
              <w14:schemeClr w14:val="tx1"/>
            </w14:solidFill>
          </w14:textFill>
        </w:rPr>
        <w:t>日内。</w:t>
      </w:r>
    </w:p>
    <w:p>
      <w:pPr>
        <w:widowControl/>
        <w:shd w:val="clear" w:color="auto" w:fill="FFFFFF"/>
        <w:spacing w:line="440" w:lineRule="exact"/>
        <w:ind w:firstLine="465"/>
        <w:jc w:val="left"/>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十三、悔约责任</w:t>
      </w:r>
      <w:r>
        <w:rPr>
          <w:rFonts w:hint="eastAsia" w:ascii="宋体" w:hAnsi="宋体" w:cs="Tahoma"/>
          <w:color w:val="000000" w:themeColor="text1"/>
          <w:kern w:val="0"/>
          <w:sz w:val="24"/>
          <w14:textFill>
            <w14:solidFill>
              <w14:schemeClr w14:val="tx1"/>
            </w14:solidFill>
          </w14:textFill>
        </w:rPr>
        <w:t>:竞租人成交后反悔的，缴纳的保证金不予退还。转让人可以重新交易。重新交易时，该竞租人不得参加。</w:t>
      </w:r>
    </w:p>
    <w:p>
      <w:pPr>
        <w:spacing w:line="440" w:lineRule="exact"/>
        <w:ind w:firstLine="472" w:firstLineChars="196"/>
        <w:rPr>
          <w:rFonts w:ascii="宋体" w:hAnsi="宋体" w:cs="Tahoma"/>
          <w:b/>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十四、其他重要事项说明：</w:t>
      </w:r>
    </w:p>
    <w:p>
      <w:pPr>
        <w:spacing w:line="440" w:lineRule="exact"/>
        <w:ind w:firstLine="480" w:firstLineChars="200"/>
        <w:rPr>
          <w:rFonts w:ascii="宋体" w:hAnsi="宋体" w:cs="宋体"/>
          <w:b/>
          <w:color w:val="000000" w:themeColor="text1"/>
          <w:kern w:val="0"/>
          <w:sz w:val="24"/>
          <w14:textFill>
            <w14:solidFill>
              <w14:schemeClr w14:val="tx1"/>
            </w14:solidFill>
          </w14:textFill>
        </w:rPr>
      </w:pPr>
      <w:r>
        <w:rPr>
          <w:rFonts w:hint="eastAsia" w:ascii="宋体" w:hAnsi="宋体" w:cs="宋体"/>
          <w:bCs/>
          <w:color w:val="000000" w:themeColor="text1"/>
          <w:kern w:val="0"/>
          <w:sz w:val="24"/>
          <w14:textFill>
            <w14:solidFill>
              <w14:schemeClr w14:val="tx1"/>
            </w14:solidFill>
          </w14:textFill>
        </w:rPr>
        <w:t>（一）标的物不得用于</w:t>
      </w:r>
      <w:r>
        <w:rPr>
          <w:rFonts w:hint="eastAsia" w:ascii="宋体" w:hAnsi="宋体" w:cs="宋体"/>
          <w:bCs/>
          <w:color w:val="000000" w:themeColor="text1"/>
          <w:kern w:val="0"/>
          <w:sz w:val="24"/>
          <w:u w:val="single"/>
          <w14:textFill>
            <w14:solidFill>
              <w14:schemeClr w14:val="tx1"/>
            </w14:solidFill>
          </w14:textFill>
        </w:rPr>
        <w:t>重餐饮、模具加工、噪音、环境污染严重行业</w:t>
      </w:r>
      <w:r>
        <w:rPr>
          <w:rFonts w:hint="eastAsia" w:ascii="宋体" w:hAnsi="宋体" w:cs="宋体"/>
          <w:bCs/>
          <w:color w:val="000000" w:themeColor="text1"/>
          <w:kern w:val="0"/>
          <w:sz w:val="24"/>
          <w14:textFill>
            <w14:solidFill>
              <w14:schemeClr w14:val="tx1"/>
            </w14:solidFill>
          </w14:textFill>
        </w:rPr>
        <w:t>。</w:t>
      </w:r>
    </w:p>
    <w:p>
      <w:pPr>
        <w:widowControl/>
        <w:shd w:val="clear" w:color="auto" w:fill="FFFFFF"/>
        <w:spacing w:line="360" w:lineRule="auto"/>
        <w:ind w:firstLine="513" w:firstLineChars="214"/>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（二）《农村集体资产资源成交确认书》签订后，竞得人须按约定时间向余姚市泗门镇后塘河社区股份经济合作社一次性付清一年租金并签订《农村集体资产资源交易合同》。</w:t>
      </w:r>
    </w:p>
    <w:p>
      <w:pPr>
        <w:widowControl/>
        <w:shd w:val="clear" w:color="auto" w:fill="FFFFFF"/>
        <w:spacing w:line="360" w:lineRule="auto"/>
        <w:ind w:firstLine="513" w:firstLineChars="214"/>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三）租金实行按年支付、先付后用的原则，竞得人应提前一个月将下一年租金交至余姚市泗门镇后塘河社区股份经济合作社；若竞得人不及时交纳，余姚市泗门镇后塘河社区股份经济合作社有权提前解除合同、收回标的。</w:t>
      </w:r>
    </w:p>
    <w:p>
      <w:pPr>
        <w:widowControl/>
        <w:shd w:val="clear" w:color="auto" w:fill="FFFFFF"/>
        <w:spacing w:line="360"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四）如竞得人遇特殊情况确需退出租赁的，则须提前二个月向余姚市泗门镇后塘河社区股份经济合作社提出书面申请，经余姚市泗门镇后塘河社区股份经济合作社同意后，方可办理退出手续；租赁时间不足一个月的按一个月收取租金，剩余已付租金退还，但履约保证金不予退还。</w:t>
      </w:r>
    </w:p>
    <w:p>
      <w:pPr>
        <w:widowControl/>
        <w:shd w:val="clear" w:color="auto" w:fill="FFFFFF"/>
        <w:spacing w:line="360"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五）竞得人应严格按照有关部门管理要求做好安全、环保等相关工作，因工作措施不到位而产生责任事故的，该事故责任及经济损失（包括第三方的经济责任）由竞得人承担，与余姚市泗门镇后塘河社区股份经济合作社无涉。</w:t>
      </w:r>
    </w:p>
    <w:p>
      <w:pPr>
        <w:widowControl/>
        <w:shd w:val="clear" w:color="auto" w:fill="FFFFFF"/>
        <w:spacing w:line="360"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六）如遇政府规划调整等原因须提前收回标的的，余姚市泗门镇后塘河社区股份经济合作社有权解除合同，并至少提前二个月书面通知竞得人；竞得人应无条件服从并及时归还标的，余姚市泗门镇后塘河社区股份经济合作社不承担作价补偿。剩余租金（从竞得人按要求时间归还标的之日起，按日计算，不计息）予以返还。如竞得人不予配合的，则余姚市泗门镇后塘河社区股份经济合作社有权按租赁期满的相关约定进行处置。</w:t>
      </w:r>
    </w:p>
    <w:p>
      <w:pPr>
        <w:spacing w:line="440" w:lineRule="exact"/>
        <w:ind w:firstLine="470" w:firstLineChars="196"/>
        <w:rPr>
          <w:rFonts w:ascii="宋体" w:hAnsi="宋体" w:cs="宋体"/>
          <w:b/>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七）租赁期满或合同解除时，竞得人返还标的时应当符合正常使用后的状态。返还时，应经余姚市泗门镇后塘河社区股份经济合作社验收认可，并互相结清各自应当承担的费用。竞得人搬迁期限为租赁期满或合同提前解除后10天以内，如逾期未搬的，余姚市泗门镇后塘河社区股份经济合作社有权按废弃物予以处理。竞得人逾期归还标的的，则应按原租金用标准的二倍向余姚市泗门镇后塘河社区股份经济合作社支付占用期间侵占费，且余姚市泗门镇后塘河社区股份经济合作社有权随时收回标的。</w:t>
      </w:r>
    </w:p>
    <w:p>
      <w:pPr>
        <w:widowControl/>
        <w:shd w:val="clear" w:color="auto" w:fill="FFFFFF"/>
        <w:spacing w:line="440" w:lineRule="exact"/>
        <w:ind w:firstLine="465"/>
        <w:jc w:val="left"/>
        <w:rPr>
          <w:rFonts w:hint="eastAsia" w:ascii="宋体" w:hAnsi="宋体" w:eastAsia="宋体" w:cs="Tahoma"/>
          <w:b/>
          <w:color w:val="000000" w:themeColor="text1"/>
          <w:kern w:val="0"/>
          <w:sz w:val="24"/>
          <w:lang w:val="en-US" w:eastAsia="zh-CN"/>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十五、联系方式</w:t>
      </w:r>
      <w:r>
        <w:rPr>
          <w:rFonts w:hint="eastAsia" w:ascii="宋体" w:hAnsi="宋体" w:cs="Tahoma"/>
          <w:b/>
          <w:color w:val="000000" w:themeColor="text1"/>
          <w:kern w:val="0"/>
          <w:sz w:val="24"/>
          <w:lang w:val="en-US" w:eastAsia="zh-CN"/>
          <w14:textFill>
            <w14:solidFill>
              <w14:schemeClr w14:val="tx1"/>
            </w14:solidFill>
          </w14:textFill>
        </w:rPr>
        <w:t xml:space="preserve"> </w:t>
      </w:r>
    </w:p>
    <w:p>
      <w:pPr>
        <w:widowControl/>
        <w:shd w:val="clear" w:color="auto" w:fill="FFFFFF"/>
        <w:spacing w:line="440" w:lineRule="exact"/>
        <w:jc w:val="left"/>
        <w:rPr>
          <w:rFonts w:ascii="宋体" w:hAnsi="宋体" w:cs="Tahoma"/>
          <w:kern w:val="0"/>
          <w:sz w:val="24"/>
        </w:rPr>
      </w:pPr>
      <w:r>
        <w:rPr>
          <w:rFonts w:hint="eastAsia" w:ascii="宋体" w:hAnsi="宋体" w:cs="Tahoma"/>
          <w:kern w:val="0"/>
          <w:sz w:val="24"/>
        </w:rPr>
        <w:t xml:space="preserve">转让人：余姚市泗门镇后塘河社区股份经济合作社     </w:t>
      </w:r>
    </w:p>
    <w:p>
      <w:pPr>
        <w:widowControl/>
        <w:shd w:val="clear" w:color="auto" w:fill="FFFFFF"/>
        <w:spacing w:line="440" w:lineRule="exact"/>
        <w:jc w:val="left"/>
        <w:rPr>
          <w:rFonts w:ascii="宋体" w:hAnsi="宋体" w:cs="Tahoma"/>
          <w:kern w:val="0"/>
          <w:sz w:val="24"/>
        </w:rPr>
      </w:pPr>
      <w:r>
        <w:rPr>
          <w:rFonts w:hint="eastAsia" w:ascii="宋体" w:hAnsi="宋体" w:cs="Tahoma"/>
          <w:kern w:val="0"/>
          <w:sz w:val="24"/>
        </w:rPr>
        <w:t>联系人：谢女士</w:t>
      </w:r>
    </w:p>
    <w:p>
      <w:pPr>
        <w:rPr>
          <w:rFonts w:ascii="宋体" w:hAnsi="宋体" w:cs="Tahoma"/>
          <w:kern w:val="0"/>
          <w:sz w:val="24"/>
        </w:rPr>
      </w:pPr>
      <w:r>
        <w:rPr>
          <w:rFonts w:hint="eastAsia" w:ascii="宋体" w:hAnsi="宋体" w:cs="Tahoma"/>
          <w:kern w:val="0"/>
          <w:sz w:val="24"/>
        </w:rPr>
        <w:t xml:space="preserve">联系电话：18094540519                 </w:t>
      </w:r>
    </w:p>
    <w:p>
      <w:pPr>
        <w:rPr>
          <w:rFonts w:ascii="宋体" w:hAnsi="宋体" w:cs="Tahoma"/>
          <w:kern w:val="0"/>
          <w:sz w:val="24"/>
        </w:rPr>
      </w:pPr>
      <w:r>
        <w:rPr>
          <w:rFonts w:hint="eastAsia" w:ascii="宋体" w:hAnsi="宋体" w:cs="Tahoma"/>
          <w:kern w:val="0"/>
          <w:sz w:val="24"/>
        </w:rPr>
        <w:t>联系地址：泗门镇红旗路8号</w:t>
      </w:r>
    </w:p>
    <w:p>
      <w:pPr>
        <w:rPr>
          <w:rFonts w:ascii="宋体" w:hAnsi="宋体" w:cs="Tahoma"/>
          <w:kern w:val="0"/>
          <w:sz w:val="24"/>
        </w:rPr>
      </w:pPr>
    </w:p>
    <w:sectPr>
      <w:pgSz w:w="11906" w:h="16838"/>
      <w:pgMar w:top="102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0106A6E"/>
    <w:multiLevelType w:val="singleLevel"/>
    <w:tmpl w:val="F0106A6E"/>
    <w:lvl w:ilvl="0" w:tentative="0">
      <w:start w:val="1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74E542E"/>
    <w:rsid w:val="00143CCA"/>
    <w:rsid w:val="0031708F"/>
    <w:rsid w:val="005C7AF6"/>
    <w:rsid w:val="005D2854"/>
    <w:rsid w:val="00807B71"/>
    <w:rsid w:val="00DE7E49"/>
    <w:rsid w:val="00FD4030"/>
    <w:rsid w:val="032E21E5"/>
    <w:rsid w:val="06206C00"/>
    <w:rsid w:val="06641E8F"/>
    <w:rsid w:val="07A857CA"/>
    <w:rsid w:val="0B9510F4"/>
    <w:rsid w:val="0CEC3F95"/>
    <w:rsid w:val="0D2E35AF"/>
    <w:rsid w:val="0E320E7D"/>
    <w:rsid w:val="0EBF18F3"/>
    <w:rsid w:val="0ED07948"/>
    <w:rsid w:val="108A4FA0"/>
    <w:rsid w:val="128A090E"/>
    <w:rsid w:val="130848A2"/>
    <w:rsid w:val="13392129"/>
    <w:rsid w:val="14092FD9"/>
    <w:rsid w:val="142F7384"/>
    <w:rsid w:val="14553C08"/>
    <w:rsid w:val="14C740A3"/>
    <w:rsid w:val="15231571"/>
    <w:rsid w:val="15655021"/>
    <w:rsid w:val="16714A34"/>
    <w:rsid w:val="16B3658C"/>
    <w:rsid w:val="173619DD"/>
    <w:rsid w:val="174E542E"/>
    <w:rsid w:val="179E57D5"/>
    <w:rsid w:val="182F7122"/>
    <w:rsid w:val="18C53972"/>
    <w:rsid w:val="19142DA4"/>
    <w:rsid w:val="1AE34745"/>
    <w:rsid w:val="1FF22990"/>
    <w:rsid w:val="209B6D55"/>
    <w:rsid w:val="218A661E"/>
    <w:rsid w:val="21D97B35"/>
    <w:rsid w:val="23864041"/>
    <w:rsid w:val="24CC572F"/>
    <w:rsid w:val="24EC7B7F"/>
    <w:rsid w:val="24F44C86"/>
    <w:rsid w:val="27413D25"/>
    <w:rsid w:val="277D6FE7"/>
    <w:rsid w:val="27A110F5"/>
    <w:rsid w:val="28011B94"/>
    <w:rsid w:val="286F2FA1"/>
    <w:rsid w:val="294E0E09"/>
    <w:rsid w:val="2A293EAB"/>
    <w:rsid w:val="2AD46E60"/>
    <w:rsid w:val="2C0060D0"/>
    <w:rsid w:val="2C033D4F"/>
    <w:rsid w:val="2ED25DED"/>
    <w:rsid w:val="2F9C6646"/>
    <w:rsid w:val="2FDF7646"/>
    <w:rsid w:val="330E79BF"/>
    <w:rsid w:val="34931DC5"/>
    <w:rsid w:val="358D2CB9"/>
    <w:rsid w:val="35A5544B"/>
    <w:rsid w:val="36A10C43"/>
    <w:rsid w:val="36FF2ACE"/>
    <w:rsid w:val="382316B2"/>
    <w:rsid w:val="38AE2074"/>
    <w:rsid w:val="3A564899"/>
    <w:rsid w:val="3AC54CA3"/>
    <w:rsid w:val="3BC25741"/>
    <w:rsid w:val="3D8A6FD3"/>
    <w:rsid w:val="3E183C49"/>
    <w:rsid w:val="3FB8617D"/>
    <w:rsid w:val="3FBA6DA0"/>
    <w:rsid w:val="3FF35E0E"/>
    <w:rsid w:val="423F358D"/>
    <w:rsid w:val="439C3837"/>
    <w:rsid w:val="444430DC"/>
    <w:rsid w:val="449C6A74"/>
    <w:rsid w:val="44AD4665"/>
    <w:rsid w:val="44EA405F"/>
    <w:rsid w:val="458364E5"/>
    <w:rsid w:val="489146B3"/>
    <w:rsid w:val="499064FE"/>
    <w:rsid w:val="49DC1278"/>
    <w:rsid w:val="4A7233B9"/>
    <w:rsid w:val="4BE66030"/>
    <w:rsid w:val="4D2C0BB1"/>
    <w:rsid w:val="4E246E3E"/>
    <w:rsid w:val="4E2B70BB"/>
    <w:rsid w:val="4E760D0B"/>
    <w:rsid w:val="4F0867B5"/>
    <w:rsid w:val="4FCA1E7A"/>
    <w:rsid w:val="50BC45C3"/>
    <w:rsid w:val="510C4F82"/>
    <w:rsid w:val="5133250E"/>
    <w:rsid w:val="51774303"/>
    <w:rsid w:val="51FD76E9"/>
    <w:rsid w:val="520836B9"/>
    <w:rsid w:val="527903F5"/>
    <w:rsid w:val="528B6C82"/>
    <w:rsid w:val="52AF2069"/>
    <w:rsid w:val="52DE294E"/>
    <w:rsid w:val="52E751E2"/>
    <w:rsid w:val="53430304"/>
    <w:rsid w:val="53C25DCC"/>
    <w:rsid w:val="53EB70D0"/>
    <w:rsid w:val="54DD7C04"/>
    <w:rsid w:val="555F2E4A"/>
    <w:rsid w:val="57961A49"/>
    <w:rsid w:val="57BA4F51"/>
    <w:rsid w:val="586C61B7"/>
    <w:rsid w:val="58E5201B"/>
    <w:rsid w:val="591D71CF"/>
    <w:rsid w:val="5A0709F2"/>
    <w:rsid w:val="5AD87EED"/>
    <w:rsid w:val="5B590DC3"/>
    <w:rsid w:val="5BA504AD"/>
    <w:rsid w:val="5BAA5733"/>
    <w:rsid w:val="5BEF1728"/>
    <w:rsid w:val="5C69772C"/>
    <w:rsid w:val="5D903B1A"/>
    <w:rsid w:val="5DEA7F47"/>
    <w:rsid w:val="5E2733FB"/>
    <w:rsid w:val="5EFC6496"/>
    <w:rsid w:val="5EFE6636"/>
    <w:rsid w:val="5FF9489B"/>
    <w:rsid w:val="6430658E"/>
    <w:rsid w:val="6503462D"/>
    <w:rsid w:val="65840C1B"/>
    <w:rsid w:val="675B4115"/>
    <w:rsid w:val="67E45EB9"/>
    <w:rsid w:val="683F3225"/>
    <w:rsid w:val="68553FF5"/>
    <w:rsid w:val="68932395"/>
    <w:rsid w:val="68BE3C62"/>
    <w:rsid w:val="6A0F6412"/>
    <w:rsid w:val="6CBB028E"/>
    <w:rsid w:val="6D21370B"/>
    <w:rsid w:val="6DB14A8F"/>
    <w:rsid w:val="6E511689"/>
    <w:rsid w:val="6EA25D30"/>
    <w:rsid w:val="6F555203"/>
    <w:rsid w:val="704240C4"/>
    <w:rsid w:val="705B5186"/>
    <w:rsid w:val="71461992"/>
    <w:rsid w:val="71484D8A"/>
    <w:rsid w:val="72BE2795"/>
    <w:rsid w:val="72C83E95"/>
    <w:rsid w:val="731A6C33"/>
    <w:rsid w:val="739E1612"/>
    <w:rsid w:val="740A3B05"/>
    <w:rsid w:val="762178CC"/>
    <w:rsid w:val="76ED073B"/>
    <w:rsid w:val="779072EE"/>
    <w:rsid w:val="78A609C8"/>
    <w:rsid w:val="7A4B2829"/>
    <w:rsid w:val="7AD63D87"/>
    <w:rsid w:val="7ADA3086"/>
    <w:rsid w:val="7B18236B"/>
    <w:rsid w:val="7CBE38E7"/>
    <w:rsid w:val="7CFA6C35"/>
    <w:rsid w:val="7D3A2409"/>
    <w:rsid w:val="7D595147"/>
    <w:rsid w:val="7DA662B5"/>
    <w:rsid w:val="7FBE6C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qFormat/>
    <w:uiPriority w:val="0"/>
    <w:pPr>
      <w:spacing w:after="120"/>
      <w:ind w:left="420" w:leftChars="200"/>
    </w:pPr>
  </w:style>
  <w:style w:type="paragraph" w:styleId="3">
    <w:name w:val="footer"/>
    <w:basedOn w:val="1"/>
    <w:link w:val="10"/>
    <w:qFormat/>
    <w:uiPriority w:val="0"/>
    <w:pPr>
      <w:tabs>
        <w:tab w:val="center" w:pos="4153"/>
        <w:tab w:val="right" w:pos="8306"/>
      </w:tabs>
      <w:snapToGrid w:val="0"/>
      <w:jc w:val="left"/>
    </w:pPr>
    <w:rPr>
      <w:sz w:val="18"/>
      <w:szCs w:val="18"/>
    </w:rPr>
  </w:style>
  <w:style w:type="paragraph" w:styleId="4">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6">
    <w:name w:val="Body Text First Indent 2"/>
    <w:basedOn w:val="2"/>
    <w:qFormat/>
    <w:uiPriority w:val="0"/>
    <w:pPr>
      <w:ind w:firstLine="420" w:firstLineChars="200"/>
    </w:pPr>
  </w:style>
  <w:style w:type="character" w:customStyle="1" w:styleId="9">
    <w:name w:val="页眉 Char"/>
    <w:basedOn w:val="8"/>
    <w:link w:val="4"/>
    <w:qFormat/>
    <w:uiPriority w:val="0"/>
    <w:rPr>
      <w:rFonts w:ascii="Calibri" w:hAnsi="Calibri"/>
      <w:kern w:val="2"/>
      <w:sz w:val="18"/>
      <w:szCs w:val="18"/>
    </w:rPr>
  </w:style>
  <w:style w:type="character" w:customStyle="1" w:styleId="10">
    <w:name w:val="页脚 Char"/>
    <w:basedOn w:val="8"/>
    <w:link w:val="3"/>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430</Words>
  <Characters>2453</Characters>
  <Lines>20</Lines>
  <Paragraphs>5</Paragraphs>
  <TotalTime>0</TotalTime>
  <ScaleCrop>false</ScaleCrop>
  <LinksUpToDate>false</LinksUpToDate>
  <CharactersWithSpaces>2878</CharactersWithSpaces>
  <Application>WPS Office_11.1.0.11194_F1E327BC-269C-435d-A152-05C5408002CA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2021-12-30T07:22:00Z</dcterms:created>
  <dc:creator>啊</dc:creator>
  <cp:lastModifiedBy>啊</cp:lastModifiedBy>
  <dcterms:modified xsi:type="dcterms:W3CDTF">2022-01-06T08:14:21Z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F4F776BE47AE4FDA9B9B6D4007DF9FFD</vt:lpwstr>
  </property>
</Properties>
</file>